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F010A0"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3383407"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91- 9432545495/ 9874245014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594806">
        <w:rPr>
          <w:rFonts w:asciiTheme="minorHAnsi" w:hAnsiTheme="minorHAnsi" w:cstheme="minorHAnsi"/>
          <w:b/>
          <w:sz w:val="20"/>
          <w:szCs w:val="20"/>
        </w:rPr>
        <w:t>28.12.</w:t>
      </w:r>
      <w:r w:rsidR="00AE7BD1">
        <w:rPr>
          <w:rFonts w:asciiTheme="minorHAnsi" w:hAnsiTheme="minorHAnsi" w:cstheme="minorHAnsi"/>
          <w:b/>
          <w:sz w:val="20"/>
          <w:szCs w:val="20"/>
        </w:rPr>
        <w:t>2023</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116BC3">
        <w:tblPrEx>
          <w:tblLook w:val="0000" w:firstRow="0" w:lastRow="0" w:firstColumn="0" w:lastColumn="0" w:noHBand="0" w:noVBand="0"/>
        </w:tblPrEx>
        <w:trPr>
          <w:trHeight w:val="416"/>
        </w:trPr>
        <w:tc>
          <w:tcPr>
            <w:tcW w:w="2508" w:type="dxa"/>
          </w:tcPr>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bCs/>
                <w:sz w:val="20"/>
                <w:szCs w:val="20"/>
              </w:rPr>
              <w:t xml:space="preserve">M/S </w:t>
            </w:r>
            <w:proofErr w:type="spellStart"/>
            <w:r w:rsidRPr="00296D59">
              <w:rPr>
                <w:rFonts w:asciiTheme="minorHAnsi" w:hAnsiTheme="minorHAnsi" w:cstheme="minorHAnsi"/>
                <w:bCs/>
                <w:sz w:val="20"/>
                <w:szCs w:val="20"/>
              </w:rPr>
              <w:t>Tijiya</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Engg</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Pvt</w:t>
            </w:r>
            <w:proofErr w:type="spellEnd"/>
            <w:r w:rsidRPr="00296D59">
              <w:rPr>
                <w:rFonts w:asciiTheme="minorHAnsi" w:hAnsiTheme="minorHAnsi" w:cstheme="minorHAnsi"/>
                <w:bCs/>
                <w:sz w:val="20"/>
                <w:szCs w:val="20"/>
              </w:rPr>
              <w:t xml:space="preserve"> Ltd </w:t>
            </w:r>
          </w:p>
          <w:p w:rsidR="002744B2" w:rsidRPr="00296D59" w:rsidRDefault="002744B2" w:rsidP="00594491">
            <w:pPr>
              <w:spacing w:after="0"/>
              <w:rPr>
                <w:rFonts w:asciiTheme="minorHAnsi" w:hAnsiTheme="minorHAnsi" w:cstheme="minorHAnsi"/>
                <w:sz w:val="20"/>
                <w:szCs w:val="20"/>
              </w:rPr>
            </w:pPr>
          </w:p>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sz w:val="20"/>
                <w:szCs w:val="20"/>
              </w:rPr>
              <w:t xml:space="preserve">Kolkata Main Office </w:t>
            </w:r>
          </w:p>
        </w:tc>
        <w:tc>
          <w:tcPr>
            <w:tcW w:w="7806" w:type="dxa"/>
          </w:tcPr>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OWNER OF THE PROPERTY: </w:t>
            </w:r>
            <w:proofErr w:type="spellStart"/>
            <w:r w:rsidRPr="00532513">
              <w:rPr>
                <w:rFonts w:ascii="Calibri" w:hAnsi="Calibri" w:cs="Calibri"/>
                <w:sz w:val="20"/>
                <w:szCs w:val="20"/>
              </w:rPr>
              <w:t>Babulal</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 xml:space="preserve"> &amp; </w:t>
            </w:r>
            <w:proofErr w:type="spellStart"/>
            <w:r w:rsidRPr="00532513">
              <w:rPr>
                <w:rFonts w:ascii="Calibri" w:hAnsi="Calibri" w:cs="Calibri"/>
                <w:sz w:val="20"/>
                <w:szCs w:val="20"/>
              </w:rPr>
              <w:t>Kanchana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w:t>
            </w:r>
          </w:p>
          <w:p w:rsidR="002744B2" w:rsidRPr="00532513" w:rsidRDefault="002744B2" w:rsidP="00594491">
            <w:pPr>
              <w:spacing w:after="0"/>
              <w:rPr>
                <w:rFonts w:ascii="Calibri" w:hAnsi="Calibri" w:cs="Calibri"/>
                <w:sz w:val="20"/>
                <w:szCs w:val="20"/>
              </w:rPr>
            </w:pP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All that piece and parcel of land measuring 10 (ten) </w:t>
            </w:r>
            <w:proofErr w:type="spellStart"/>
            <w:r w:rsidRPr="00532513">
              <w:rPr>
                <w:rFonts w:ascii="Calibri" w:hAnsi="Calibri" w:cs="Calibri"/>
                <w:sz w:val="20"/>
                <w:szCs w:val="20"/>
              </w:rPr>
              <w:t>cottah</w:t>
            </w:r>
            <w:proofErr w:type="spellEnd"/>
            <w:r w:rsidRPr="00532513">
              <w:rPr>
                <w:rFonts w:ascii="Calibri" w:hAnsi="Calibri" w:cs="Calibri"/>
                <w:sz w:val="20"/>
                <w:szCs w:val="20"/>
              </w:rPr>
              <w:t xml:space="preserve"> 6(six) </w:t>
            </w:r>
            <w:proofErr w:type="spellStart"/>
            <w:r w:rsidRPr="00532513">
              <w:rPr>
                <w:rFonts w:ascii="Calibri" w:hAnsi="Calibri" w:cs="Calibri"/>
                <w:sz w:val="20"/>
                <w:szCs w:val="20"/>
              </w:rPr>
              <w:t>chittaks</w:t>
            </w:r>
            <w:proofErr w:type="spellEnd"/>
            <w:r w:rsidRPr="00532513">
              <w:rPr>
                <w:rFonts w:ascii="Calibri" w:hAnsi="Calibri" w:cs="Calibri"/>
                <w:sz w:val="20"/>
                <w:szCs w:val="20"/>
              </w:rPr>
              <w:t xml:space="preserve"> and 18 (eighteen) </w:t>
            </w:r>
            <w:proofErr w:type="spellStart"/>
            <w:r w:rsidRPr="00532513">
              <w:rPr>
                <w:rFonts w:ascii="Calibri" w:hAnsi="Calibri" w:cs="Calibri"/>
                <w:sz w:val="20"/>
                <w:szCs w:val="20"/>
              </w:rPr>
              <w:t>sq.ft</w:t>
            </w:r>
            <w:proofErr w:type="spellEnd"/>
            <w:r w:rsidRPr="00532513">
              <w:rPr>
                <w:rFonts w:ascii="Calibri" w:hAnsi="Calibri" w:cs="Calibri"/>
                <w:sz w:val="20"/>
                <w:szCs w:val="20"/>
              </w:rPr>
              <w:t xml:space="preserve">. being at 242/1, G T Road (N), </w:t>
            </w:r>
            <w:proofErr w:type="spellStart"/>
            <w:r w:rsidRPr="00532513">
              <w:rPr>
                <w:rFonts w:ascii="Calibri" w:hAnsi="Calibri" w:cs="Calibri"/>
                <w:sz w:val="20"/>
                <w:szCs w:val="20"/>
              </w:rPr>
              <w:t>Salkia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Mouza</w:t>
            </w:r>
            <w:proofErr w:type="spellEnd"/>
            <w:r w:rsidRPr="00532513">
              <w:rPr>
                <w:rFonts w:ascii="Calibri" w:hAnsi="Calibri" w:cs="Calibri"/>
                <w:sz w:val="20"/>
                <w:szCs w:val="20"/>
              </w:rPr>
              <w:t xml:space="preserve"> &amp; PS </w:t>
            </w:r>
            <w:proofErr w:type="spellStart"/>
            <w:r w:rsidRPr="00532513">
              <w:rPr>
                <w:rFonts w:ascii="Calibri" w:hAnsi="Calibri" w:cs="Calibri"/>
                <w:sz w:val="20"/>
                <w:szCs w:val="20"/>
              </w:rPr>
              <w:t>Malipanchgara</w:t>
            </w:r>
            <w:proofErr w:type="spellEnd"/>
            <w:r w:rsidRPr="00532513">
              <w:rPr>
                <w:rFonts w:ascii="Calibri" w:hAnsi="Calibri" w:cs="Calibri"/>
                <w:sz w:val="20"/>
                <w:szCs w:val="20"/>
              </w:rPr>
              <w:t xml:space="preserve">, Ward No 06, </w:t>
            </w:r>
            <w:proofErr w:type="spellStart"/>
            <w:r w:rsidRPr="00532513">
              <w:rPr>
                <w:rFonts w:ascii="Calibri" w:hAnsi="Calibri" w:cs="Calibri"/>
                <w:sz w:val="20"/>
                <w:szCs w:val="20"/>
              </w:rPr>
              <w:t>Distt</w:t>
            </w:r>
            <w:proofErr w:type="spellEnd"/>
            <w:r w:rsidRPr="00532513">
              <w:rPr>
                <w:rFonts w:ascii="Calibri" w:hAnsi="Calibri" w:cs="Calibri"/>
                <w:sz w:val="20"/>
                <w:szCs w:val="20"/>
              </w:rPr>
              <w:t>. Howrah, along with Office Building &amp; factory shed.</w:t>
            </w:r>
          </w:p>
          <w:p w:rsidR="002744B2" w:rsidRPr="00532513" w:rsidRDefault="00042F53" w:rsidP="00594491">
            <w:pPr>
              <w:spacing w:after="0"/>
              <w:rPr>
                <w:rFonts w:ascii="Calibri" w:hAnsi="Calibri" w:cs="Calibri"/>
                <w:sz w:val="20"/>
                <w:szCs w:val="20"/>
              </w:rPr>
            </w:pPr>
            <w:r>
              <w:rPr>
                <w:rFonts w:ascii="Calibri" w:hAnsi="Calibri" w:cs="Calibri"/>
                <w:sz w:val="20"/>
                <w:szCs w:val="20"/>
              </w:rPr>
              <w:t>Bounded by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North by: 15’ wide Common passage</w:t>
            </w:r>
            <w:r w:rsidRPr="00532513">
              <w:rPr>
                <w:rFonts w:ascii="Calibri" w:hAnsi="Calibri" w:cs="Calibri"/>
                <w:sz w:val="20"/>
                <w:szCs w:val="20"/>
              </w:rPr>
              <w:tab/>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South by: Others factory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East by: Others factory</w:t>
            </w:r>
            <w:r w:rsidRPr="00532513">
              <w:rPr>
                <w:rFonts w:ascii="Calibri" w:hAnsi="Calibri" w:cs="Calibri"/>
                <w:sz w:val="20"/>
                <w:szCs w:val="20"/>
              </w:rPr>
              <w:tab/>
            </w:r>
            <w:r w:rsidRPr="00532513">
              <w:rPr>
                <w:rFonts w:ascii="Calibri" w:hAnsi="Calibri" w:cs="Calibri"/>
                <w:sz w:val="20"/>
                <w:szCs w:val="20"/>
              </w:rPr>
              <w:tab/>
            </w:r>
          </w:p>
          <w:p w:rsidR="002744B2" w:rsidRDefault="002744B2" w:rsidP="00594491">
            <w:pPr>
              <w:pStyle w:val="ListParagraph"/>
              <w:tabs>
                <w:tab w:val="left" w:pos="1455"/>
              </w:tabs>
              <w:spacing w:after="0"/>
              <w:ind w:left="0"/>
              <w:rPr>
                <w:rFonts w:ascii="Calibri" w:hAnsi="Calibri" w:cs="Calibri"/>
                <w:sz w:val="20"/>
                <w:szCs w:val="20"/>
              </w:rPr>
            </w:pPr>
            <w:r w:rsidRPr="00532513">
              <w:rPr>
                <w:rFonts w:ascii="Calibri" w:hAnsi="Calibri" w:cs="Calibri"/>
                <w:sz w:val="20"/>
                <w:szCs w:val="20"/>
              </w:rPr>
              <w:t>On the West by: Rajasthan Rolling Mill</w:t>
            </w:r>
          </w:p>
          <w:p w:rsidR="00594806" w:rsidRPr="00594806" w:rsidRDefault="00594806" w:rsidP="00594806">
            <w:pPr>
              <w:pStyle w:val="ListParagraph"/>
              <w:tabs>
                <w:tab w:val="left" w:pos="1455"/>
              </w:tabs>
              <w:spacing w:after="0"/>
              <w:ind w:left="0"/>
              <w:rPr>
                <w:b/>
                <w:sz w:val="20"/>
                <w:szCs w:val="20"/>
              </w:rPr>
            </w:pPr>
            <w:r w:rsidRPr="00594806">
              <w:rPr>
                <w:rFonts w:ascii="Calibri" w:hAnsi="Calibri" w:cs="Calibri"/>
                <w:b/>
                <w:sz w:val="20"/>
                <w:szCs w:val="20"/>
              </w:rPr>
              <w:t>(PHYSICAL  POSSESSION)</w:t>
            </w:r>
          </w:p>
        </w:tc>
        <w:tc>
          <w:tcPr>
            <w:tcW w:w="1276" w:type="dxa"/>
          </w:tcPr>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eastAsia="Calibri" w:hAnsiTheme="minorHAnsi" w:cstheme="minorHAnsi"/>
                <w:sz w:val="20"/>
                <w:szCs w:val="20"/>
                <w:lang w:val="en-IN"/>
              </w:rPr>
              <w:t>01.06.2020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 xml:space="preserve">Rs.14.80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2744B2" w:rsidP="00594491">
            <w:pPr>
              <w:spacing w:after="0"/>
              <w:jc w:val="center"/>
              <w:rPr>
                <w:rFonts w:asciiTheme="minorHAnsi" w:hAnsiTheme="minorHAnsi" w:cstheme="minorHAnsi"/>
                <w:sz w:val="20"/>
                <w:szCs w:val="20"/>
              </w:rPr>
            </w:pPr>
            <w:r w:rsidRPr="00296D59">
              <w:rPr>
                <w:rFonts w:asciiTheme="minorHAnsi" w:hAnsiTheme="minorHAnsi" w:cstheme="minorHAnsi"/>
                <w:bCs/>
                <w:sz w:val="20"/>
                <w:szCs w:val="20"/>
              </w:rPr>
              <w:t>16.10.2020</w:t>
            </w:r>
          </w:p>
          <w:p w:rsidR="002744B2" w:rsidRPr="00296D59" w:rsidRDefault="002744B2" w:rsidP="00594491">
            <w:pPr>
              <w:spacing w:after="0"/>
              <w:jc w:val="center"/>
              <w:rPr>
                <w:rFonts w:asciiTheme="minorHAnsi" w:hAnsiTheme="minorHAnsi" w:cstheme="minorHAnsi"/>
                <w:sz w:val="20"/>
                <w:szCs w:val="20"/>
              </w:rPr>
            </w:pPr>
          </w:p>
        </w:tc>
        <w:tc>
          <w:tcPr>
            <w:tcW w:w="170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594806">
              <w:rPr>
                <w:rFonts w:asciiTheme="minorHAnsi" w:hAnsiTheme="minorHAnsi" w:cstheme="minorHAnsi"/>
                <w:sz w:val="20"/>
                <w:szCs w:val="20"/>
              </w:rPr>
              <w:t>1.83</w:t>
            </w:r>
            <w:r w:rsidR="00AE7BD1">
              <w:rPr>
                <w:rFonts w:asciiTheme="minorHAnsi" w:hAnsiTheme="minorHAnsi" w:cstheme="minorHAnsi"/>
                <w:sz w:val="20"/>
                <w:szCs w:val="20"/>
              </w:rPr>
              <w:t xml:space="preserve"> </w:t>
            </w:r>
            <w:r w:rsidR="00042F53">
              <w:rPr>
                <w:rFonts w:asciiTheme="minorHAnsi" w:hAnsiTheme="minorHAnsi" w:cstheme="minorHAnsi"/>
                <w:sz w:val="20"/>
                <w:szCs w:val="20"/>
              </w:rPr>
              <w:t xml:space="preserve"> </w:t>
            </w:r>
            <w:proofErr w:type="spellStart"/>
            <w:r>
              <w:rPr>
                <w:rFonts w:asciiTheme="minorHAnsi" w:hAnsiTheme="minorHAnsi" w:cstheme="minorHAnsi"/>
                <w:sz w:val="20"/>
                <w:szCs w:val="20"/>
              </w:rPr>
              <w:t>crore</w:t>
            </w:r>
            <w:proofErr w:type="spellEnd"/>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594806">
              <w:rPr>
                <w:rFonts w:asciiTheme="minorHAnsi" w:hAnsiTheme="minorHAnsi" w:cstheme="minorHAnsi"/>
                <w:sz w:val="20"/>
                <w:szCs w:val="20"/>
              </w:rPr>
              <w:t xml:space="preserve">19.00 </w:t>
            </w:r>
            <w:r w:rsidR="00AE7BD1">
              <w:rPr>
                <w:rFonts w:asciiTheme="minorHAnsi" w:hAnsiTheme="minorHAnsi" w:cstheme="minorHAnsi"/>
                <w:sz w:val="20"/>
                <w:szCs w:val="20"/>
              </w:rPr>
              <w:t xml:space="preserve"> </w:t>
            </w:r>
            <w:r>
              <w:rPr>
                <w:rFonts w:asciiTheme="minorHAnsi" w:hAnsiTheme="minorHAnsi" w:cstheme="minorHAnsi"/>
                <w:sz w:val="20"/>
                <w:szCs w:val="20"/>
              </w:rPr>
              <w:t>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0.2</w:t>
            </w:r>
            <w:r w:rsidR="00313546">
              <w:rPr>
                <w:rFonts w:asciiTheme="minorHAnsi" w:hAnsiTheme="minorHAnsi" w:cstheme="minorHAnsi"/>
                <w:sz w:val="20"/>
                <w:szCs w:val="20"/>
              </w:rPr>
              <w:t>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76" w:type="dxa"/>
          </w:tcPr>
          <w:p w:rsidR="002744B2" w:rsidRDefault="00594491"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594806">
              <w:rPr>
                <w:rFonts w:asciiTheme="minorHAnsi" w:hAnsiTheme="minorHAnsi" w:cstheme="minorHAnsi"/>
                <w:b/>
                <w:bCs/>
                <w:color w:val="auto"/>
                <w:sz w:val="20"/>
                <w:szCs w:val="20"/>
              </w:rPr>
              <w:t>28.12.</w:t>
            </w:r>
            <w:r w:rsidR="00AE7BD1">
              <w:rPr>
                <w:rFonts w:asciiTheme="minorHAnsi" w:hAnsiTheme="minorHAnsi" w:cstheme="minorHAnsi"/>
                <w:b/>
                <w:bCs/>
                <w:color w:val="auto"/>
                <w:sz w:val="20"/>
                <w:szCs w:val="20"/>
              </w:rPr>
              <w:t>2023</w:t>
            </w:r>
          </w:p>
          <w:p w:rsidR="00AE7BD1" w:rsidRDefault="00AE7BD1" w:rsidP="00594491">
            <w:pPr>
              <w:spacing w:after="4" w:line="250" w:lineRule="auto"/>
              <w:ind w:left="-15" w:firstLine="0"/>
              <w:jc w:val="left"/>
              <w:rPr>
                <w:rFonts w:asciiTheme="minorHAnsi" w:hAnsiTheme="minorHAnsi" w:cstheme="minorHAnsi"/>
                <w:b/>
                <w:bCs/>
                <w:sz w:val="20"/>
                <w:szCs w:val="20"/>
              </w:rPr>
            </w:pP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00594806">
              <w:rPr>
                <w:rFonts w:asciiTheme="minorHAnsi" w:hAnsiTheme="minorHAnsi" w:cstheme="minorHAnsi"/>
                <w:b/>
                <w:bCs/>
                <w:sz w:val="20"/>
                <w:szCs w:val="20"/>
              </w:rPr>
              <w:t>10.00</w:t>
            </w:r>
            <w:r w:rsidRPr="00594491">
              <w:rPr>
                <w:rFonts w:asciiTheme="minorHAnsi" w:hAnsiTheme="minorHAnsi" w:cstheme="minorHAnsi"/>
                <w:b/>
                <w:bCs/>
                <w:sz w:val="20"/>
                <w:szCs w:val="20"/>
              </w:rPr>
              <w:t xml:space="preserve"> </w:t>
            </w:r>
            <w:r w:rsidR="00594806">
              <w:rPr>
                <w:rFonts w:asciiTheme="minorHAnsi" w:hAnsiTheme="minorHAnsi" w:cstheme="minorHAnsi"/>
                <w:b/>
                <w:bCs/>
                <w:sz w:val="20"/>
                <w:szCs w:val="20"/>
              </w:rPr>
              <w:t>AM  to 6.00</w:t>
            </w:r>
            <w:r w:rsidRPr="00594491">
              <w:rPr>
                <w:rFonts w:asciiTheme="minorHAnsi" w:hAnsiTheme="minorHAnsi" w:cstheme="minorHAnsi"/>
                <w:b/>
                <w:bCs/>
                <w:sz w:val="20"/>
                <w:szCs w:val="20"/>
              </w:rPr>
              <w:t xml:space="preserve">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594806">
              <w:rPr>
                <w:rFonts w:asciiTheme="minorHAnsi" w:hAnsiTheme="minorHAnsi" w:cstheme="minorHAnsi"/>
                <w:b/>
                <w:bCs/>
                <w:sz w:val="20"/>
                <w:szCs w:val="20"/>
              </w:rPr>
              <w:t>26.12</w:t>
            </w:r>
            <w:r w:rsidR="00AE7BD1">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2744B2" w:rsidRPr="00296D59" w:rsidRDefault="002744B2" w:rsidP="00594491">
            <w:pPr>
              <w:spacing w:after="0"/>
              <w:rPr>
                <w:rFonts w:asciiTheme="minorHAnsi" w:hAnsiTheme="minorHAnsi" w:cstheme="minorHAnsi"/>
                <w:sz w:val="20"/>
                <w:szCs w:val="20"/>
              </w:rPr>
            </w:pPr>
          </w:p>
        </w:tc>
      </w:tr>
      <w:tr w:rsidR="00594806" w:rsidRPr="00296D59" w:rsidTr="00A42DE3">
        <w:tblPrEx>
          <w:tblLook w:val="0000" w:firstRow="0" w:lastRow="0" w:firstColumn="0" w:lastColumn="0" w:noHBand="0" w:noVBand="0"/>
        </w:tblPrEx>
        <w:trPr>
          <w:trHeight w:val="416"/>
        </w:trPr>
        <w:tc>
          <w:tcPr>
            <w:tcW w:w="2508" w:type="dxa"/>
          </w:tcPr>
          <w:p w:rsidR="00594806" w:rsidRDefault="00594806" w:rsidP="00594806">
            <w:pPr>
              <w:spacing w:after="0"/>
              <w:rPr>
                <w:rFonts w:asciiTheme="minorHAnsi" w:hAnsiTheme="minorHAnsi" w:cstheme="minorHAnsi"/>
                <w:bCs/>
                <w:sz w:val="20"/>
                <w:szCs w:val="20"/>
              </w:rPr>
            </w:pPr>
            <w:r w:rsidRPr="00296D59">
              <w:rPr>
                <w:rFonts w:asciiTheme="minorHAnsi" w:hAnsiTheme="minorHAnsi" w:cstheme="minorHAnsi"/>
                <w:bCs/>
                <w:sz w:val="20"/>
                <w:szCs w:val="20"/>
              </w:rPr>
              <w:lastRenderedPageBreak/>
              <w:t xml:space="preserve">M/S </w:t>
            </w:r>
            <w:r>
              <w:rPr>
                <w:rFonts w:asciiTheme="minorHAnsi" w:hAnsiTheme="minorHAnsi" w:cstheme="minorHAnsi"/>
                <w:bCs/>
                <w:sz w:val="20"/>
                <w:szCs w:val="20"/>
              </w:rPr>
              <w:t xml:space="preserve">AMP </w:t>
            </w:r>
            <w:proofErr w:type="spellStart"/>
            <w:r>
              <w:rPr>
                <w:rFonts w:asciiTheme="minorHAnsi" w:hAnsiTheme="minorHAnsi" w:cstheme="minorHAnsi"/>
                <w:bCs/>
                <w:sz w:val="20"/>
                <w:szCs w:val="20"/>
              </w:rPr>
              <w:t>Agrotech</w:t>
            </w:r>
            <w:proofErr w:type="spellEnd"/>
            <w:r>
              <w:rPr>
                <w:rFonts w:asciiTheme="minorHAnsi" w:hAnsiTheme="minorHAnsi" w:cstheme="minorHAnsi"/>
                <w:bCs/>
                <w:sz w:val="20"/>
                <w:szCs w:val="20"/>
              </w:rPr>
              <w:t xml:space="preserve"> Pvt. Ltd.</w:t>
            </w:r>
          </w:p>
          <w:p w:rsidR="00594806" w:rsidRDefault="00594806" w:rsidP="00594806">
            <w:pPr>
              <w:spacing w:after="0"/>
              <w:rPr>
                <w:rFonts w:asciiTheme="minorHAnsi" w:hAnsiTheme="minorHAnsi" w:cstheme="minorHAnsi"/>
                <w:bCs/>
                <w:sz w:val="20"/>
                <w:szCs w:val="20"/>
              </w:rPr>
            </w:pPr>
            <w:r>
              <w:rPr>
                <w:rFonts w:asciiTheme="minorHAnsi" w:hAnsiTheme="minorHAnsi" w:cstheme="minorHAnsi"/>
                <w:bCs/>
                <w:sz w:val="20"/>
                <w:szCs w:val="20"/>
              </w:rPr>
              <w:t>Directors:</w:t>
            </w:r>
          </w:p>
          <w:p w:rsidR="00594806" w:rsidRDefault="00594806" w:rsidP="00594806">
            <w:pPr>
              <w:spacing w:after="0"/>
              <w:rPr>
                <w:rFonts w:asciiTheme="minorHAnsi" w:hAnsiTheme="minorHAnsi" w:cstheme="minorHAnsi"/>
                <w:bCs/>
                <w:sz w:val="20"/>
                <w:szCs w:val="20"/>
              </w:rPr>
            </w:pPr>
            <w:r w:rsidRPr="00E7390A">
              <w:rPr>
                <w:rFonts w:asciiTheme="minorHAnsi" w:hAnsiTheme="minorHAnsi" w:cstheme="minorHAnsi"/>
                <w:bCs/>
                <w:sz w:val="20"/>
                <w:szCs w:val="20"/>
              </w:rPr>
              <w:t xml:space="preserve">Smt. </w:t>
            </w:r>
            <w:proofErr w:type="spellStart"/>
            <w:r w:rsidRPr="00E7390A">
              <w:rPr>
                <w:rFonts w:asciiTheme="minorHAnsi" w:hAnsiTheme="minorHAnsi" w:cstheme="minorHAnsi"/>
                <w:bCs/>
                <w:sz w:val="20"/>
                <w:szCs w:val="20"/>
              </w:rPr>
              <w:t>Moumita</w:t>
            </w:r>
            <w:proofErr w:type="spellEnd"/>
            <w:r w:rsidRPr="00E7390A">
              <w:rPr>
                <w:rFonts w:asciiTheme="minorHAnsi" w:hAnsiTheme="minorHAnsi" w:cstheme="minorHAnsi"/>
                <w:bCs/>
                <w:sz w:val="20"/>
                <w:szCs w:val="20"/>
              </w:rPr>
              <w:t xml:space="preserve"> Pal </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bCs/>
                <w:sz w:val="20"/>
                <w:szCs w:val="20"/>
              </w:rPr>
              <w:t xml:space="preserve">Sri </w:t>
            </w:r>
            <w:proofErr w:type="spellStart"/>
            <w:r>
              <w:rPr>
                <w:rFonts w:asciiTheme="minorHAnsi" w:hAnsiTheme="minorHAnsi" w:cstheme="minorHAnsi"/>
                <w:bCs/>
                <w:sz w:val="20"/>
                <w:szCs w:val="20"/>
              </w:rPr>
              <w:t>Amal</w:t>
            </w:r>
            <w:proofErr w:type="spellEnd"/>
            <w:r>
              <w:rPr>
                <w:rFonts w:asciiTheme="minorHAnsi" w:hAnsiTheme="minorHAnsi" w:cstheme="minorHAnsi"/>
                <w:bCs/>
                <w:sz w:val="20"/>
                <w:szCs w:val="20"/>
              </w:rPr>
              <w:t xml:space="preserve"> Pal</w:t>
            </w:r>
            <w:r w:rsidRPr="00296D59">
              <w:rPr>
                <w:rFonts w:asciiTheme="minorHAnsi" w:hAnsiTheme="minorHAnsi" w:cstheme="minorHAnsi"/>
                <w:bCs/>
                <w:sz w:val="20"/>
                <w:szCs w:val="20"/>
              </w:rPr>
              <w:t xml:space="preserve"> </w:t>
            </w:r>
          </w:p>
          <w:p w:rsidR="00594806" w:rsidRPr="00296D59" w:rsidRDefault="00594806" w:rsidP="00594806">
            <w:pPr>
              <w:spacing w:after="0"/>
              <w:rPr>
                <w:rFonts w:asciiTheme="minorHAnsi" w:hAnsiTheme="minorHAnsi" w:cstheme="minorHAnsi"/>
                <w:sz w:val="20"/>
                <w:szCs w:val="20"/>
              </w:rPr>
            </w:pP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 xml:space="preserve">B/O- </w:t>
            </w:r>
            <w:proofErr w:type="spellStart"/>
            <w:r>
              <w:rPr>
                <w:rFonts w:asciiTheme="minorHAnsi" w:hAnsiTheme="minorHAnsi" w:cstheme="minorHAnsi"/>
                <w:sz w:val="20"/>
                <w:szCs w:val="20"/>
              </w:rPr>
              <w:t>Shyambazar</w:t>
            </w:r>
            <w:proofErr w:type="spellEnd"/>
          </w:p>
        </w:tc>
        <w:tc>
          <w:tcPr>
            <w:tcW w:w="7806" w:type="dxa"/>
          </w:tcPr>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 xml:space="preserve">All that piece and parcel of land admeasuring 48 decimals under Dag no 1580, under Dag no 1581 -22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22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under Dag no 1582- 2.66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24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and under Dag no 1588- 1.34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1.34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dhankal</w:t>
            </w:r>
            <w:proofErr w:type="spellEnd"/>
            <w:r w:rsidRPr="004F616E">
              <w:rPr>
                <w:rFonts w:ascii="Calibri" w:hAnsi="Calibri" w:cs="Calibri"/>
                <w:sz w:val="22"/>
                <w:lang w:val="en-IN" w:eastAsia="en-IN"/>
              </w:rPr>
              <w:t xml:space="preserve"> land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Sa No 151,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 2168,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nos</w:t>
            </w:r>
            <w:proofErr w:type="spellEnd"/>
            <w:r w:rsidRPr="004F616E">
              <w:rPr>
                <w:rFonts w:ascii="Calibri" w:hAnsi="Calibri" w:cs="Calibri"/>
                <w:sz w:val="22"/>
                <w:lang w:val="en-IN" w:eastAsia="en-IN"/>
              </w:rPr>
              <w:t xml:space="preserve"> 295/1, 855/1 and 387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A.D.S.R.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North- Dag No 1578, 1579 &amp; 1507</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South- Dag No 1587 &amp; 1588</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East- Dag No 1589 &amp; 1506</w:t>
            </w:r>
          </w:p>
          <w:p w:rsidR="00594806"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West- Dag no -1583</w:t>
            </w:r>
          </w:p>
          <w:p w:rsidR="00594806" w:rsidRPr="004F616E" w:rsidRDefault="00594806" w:rsidP="00594806">
            <w:pPr>
              <w:spacing w:after="0"/>
              <w:rPr>
                <w:rFonts w:ascii="Calibri" w:hAnsi="Calibri" w:cs="Calibri"/>
                <w:sz w:val="22"/>
                <w:lang w:val="en-IN" w:eastAsia="en-IN"/>
              </w:rPr>
            </w:pP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 xml:space="preserve">All that piece and parcel of land admeasuring 33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under Dag No 1579 out of 43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dhankal</w:t>
            </w:r>
            <w:proofErr w:type="spellEnd"/>
            <w:r w:rsidRPr="004F616E">
              <w:rPr>
                <w:rFonts w:ascii="Calibri" w:hAnsi="Calibri" w:cs="Calibri"/>
                <w:sz w:val="22"/>
                <w:lang w:val="en-IN" w:eastAsia="en-IN"/>
              </w:rPr>
              <w:t xml:space="preserve"> land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Sa No 151,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2168,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149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w:t>
            </w:r>
            <w:proofErr w:type="gramStart"/>
            <w:r w:rsidRPr="004F616E">
              <w:rPr>
                <w:rFonts w:ascii="Calibri" w:hAnsi="Calibri" w:cs="Calibri"/>
                <w:sz w:val="22"/>
                <w:lang w:val="en-IN" w:eastAsia="en-IN"/>
              </w:rPr>
              <w:t>A.D.S.R</w:t>
            </w:r>
            <w:proofErr w:type="gram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North- Dag No 1511</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South- Dag No 1581 &amp; 1582</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East- Dag No 1507 &amp; 1508</w:t>
            </w:r>
          </w:p>
          <w:p w:rsidR="00594806"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West- Dag no -1578</w:t>
            </w:r>
          </w:p>
          <w:p w:rsidR="00594806" w:rsidRPr="004F616E" w:rsidRDefault="00594806" w:rsidP="00594806">
            <w:pPr>
              <w:spacing w:after="0"/>
              <w:rPr>
                <w:rFonts w:ascii="Calibri" w:hAnsi="Calibri" w:cs="Calibri"/>
                <w:sz w:val="22"/>
                <w:lang w:val="en-IN" w:eastAsia="en-IN"/>
              </w:rPr>
            </w:pP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 xml:space="preserve">All that piece and parcel of </w:t>
            </w:r>
            <w:proofErr w:type="spellStart"/>
            <w:r w:rsidRPr="004F616E">
              <w:rPr>
                <w:rFonts w:ascii="Calibri" w:hAnsi="Calibri" w:cs="Calibri"/>
                <w:sz w:val="22"/>
                <w:lang w:val="en-IN" w:eastAsia="en-IN"/>
              </w:rPr>
              <w:t>Danga</w:t>
            </w:r>
            <w:proofErr w:type="spellEnd"/>
            <w:r w:rsidRPr="004F616E">
              <w:rPr>
                <w:rFonts w:ascii="Calibri" w:hAnsi="Calibri" w:cs="Calibri"/>
                <w:sz w:val="22"/>
                <w:lang w:val="en-IN" w:eastAsia="en-IN"/>
              </w:rPr>
              <w:t xml:space="preserve"> land measuring 34.66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more or less out of 36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Su No- 151 ,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14 comprising in R.S and L.R Dag no 1588 under L.R.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387, new L. R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1964,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A.D.S.R.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North- Dag No 1588</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South- Dag No 1816</w:t>
            </w:r>
          </w:p>
          <w:p w:rsidR="00594806" w:rsidRPr="004F616E"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East- Municipal Road</w:t>
            </w:r>
          </w:p>
          <w:p w:rsidR="00594806" w:rsidRDefault="00594806" w:rsidP="00594806">
            <w:pPr>
              <w:spacing w:after="0"/>
              <w:rPr>
                <w:rFonts w:ascii="Calibri" w:hAnsi="Calibri" w:cs="Calibri"/>
                <w:sz w:val="22"/>
                <w:lang w:val="en-IN" w:eastAsia="en-IN"/>
              </w:rPr>
            </w:pPr>
            <w:r w:rsidRPr="004F616E">
              <w:rPr>
                <w:rFonts w:ascii="Calibri" w:hAnsi="Calibri" w:cs="Calibri"/>
                <w:sz w:val="22"/>
                <w:lang w:val="en-IN" w:eastAsia="en-IN"/>
              </w:rPr>
              <w:t>West- Dag no -1587 &amp; 2224</w:t>
            </w:r>
          </w:p>
          <w:p w:rsidR="00594806" w:rsidRPr="004F616E" w:rsidRDefault="00594806" w:rsidP="00594806">
            <w:pPr>
              <w:spacing w:after="0"/>
              <w:rPr>
                <w:rFonts w:ascii="Calibri" w:hAnsi="Calibri" w:cs="Calibri"/>
                <w:sz w:val="22"/>
                <w:lang w:val="en-IN" w:eastAsia="en-IN"/>
              </w:rPr>
            </w:pPr>
            <w:r w:rsidRPr="00594806">
              <w:rPr>
                <w:rFonts w:ascii="Calibri" w:hAnsi="Calibri" w:cs="Calibri"/>
                <w:b/>
                <w:sz w:val="20"/>
                <w:szCs w:val="20"/>
              </w:rPr>
              <w:t>(PHYSICAL  POSSESSION)</w:t>
            </w:r>
          </w:p>
        </w:tc>
        <w:tc>
          <w:tcPr>
            <w:tcW w:w="1276" w:type="dxa"/>
          </w:tcPr>
          <w:p w:rsidR="00594806" w:rsidRPr="00296D59" w:rsidRDefault="00594806" w:rsidP="00594806">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14.01.2015</w:t>
            </w:r>
          </w:p>
          <w:p w:rsidR="00594806" w:rsidRDefault="00594806" w:rsidP="00594806">
            <w:pPr>
              <w:spacing w:after="0"/>
              <w:jc w:val="center"/>
              <w:rPr>
                <w:rFonts w:asciiTheme="minorHAnsi" w:hAnsiTheme="minorHAnsi" w:cstheme="minorHAnsi"/>
                <w:sz w:val="20"/>
                <w:szCs w:val="20"/>
              </w:rPr>
            </w:pPr>
          </w:p>
          <w:p w:rsidR="00594806" w:rsidRDefault="00594806" w:rsidP="00594806">
            <w:pPr>
              <w:spacing w:after="0"/>
              <w:jc w:val="center"/>
              <w:rPr>
                <w:rFonts w:asciiTheme="minorHAnsi" w:hAnsiTheme="minorHAnsi" w:cstheme="minorHAnsi"/>
                <w:sz w:val="20"/>
                <w:szCs w:val="20"/>
              </w:rPr>
            </w:pPr>
          </w:p>
          <w:p w:rsidR="00594806" w:rsidRDefault="00594806" w:rsidP="00594806">
            <w:pPr>
              <w:spacing w:after="0"/>
              <w:jc w:val="center"/>
              <w:rPr>
                <w:rFonts w:asciiTheme="minorHAnsi" w:hAnsiTheme="minorHAnsi" w:cstheme="minorHAnsi"/>
                <w:sz w:val="20"/>
                <w:szCs w:val="20"/>
              </w:rPr>
            </w:pPr>
          </w:p>
          <w:p w:rsidR="00594806" w:rsidRPr="00296D59" w:rsidRDefault="00594806" w:rsidP="00594806">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Rs.</w:t>
            </w:r>
            <w:r>
              <w:rPr>
                <w:rFonts w:asciiTheme="minorHAnsi" w:hAnsiTheme="minorHAnsi" w:cstheme="minorHAnsi"/>
                <w:sz w:val="20"/>
                <w:szCs w:val="20"/>
              </w:rPr>
              <w:t>278.24</w:t>
            </w:r>
            <w:r w:rsidRPr="00296D59">
              <w:rPr>
                <w:rFonts w:asciiTheme="minorHAnsi" w:hAnsiTheme="minorHAnsi" w:cstheme="minorHAnsi"/>
                <w:sz w:val="20"/>
                <w:szCs w:val="20"/>
              </w:rPr>
              <w:t xml:space="preserve"> </w:t>
            </w:r>
            <w:r>
              <w:rPr>
                <w:rFonts w:asciiTheme="minorHAnsi" w:hAnsiTheme="minorHAnsi" w:cstheme="minorHAnsi"/>
                <w:sz w:val="20"/>
                <w:szCs w:val="20"/>
              </w:rPr>
              <w:t>lakhs</w:t>
            </w:r>
          </w:p>
          <w:p w:rsidR="00594806" w:rsidRPr="00296D59" w:rsidRDefault="00594806" w:rsidP="00594806">
            <w:pPr>
              <w:spacing w:after="0"/>
              <w:jc w:val="center"/>
              <w:rPr>
                <w:rFonts w:asciiTheme="minorHAnsi" w:eastAsia="Calibri" w:hAnsiTheme="minorHAnsi" w:cstheme="minorHAnsi"/>
                <w:sz w:val="20"/>
                <w:szCs w:val="20"/>
                <w:lang w:val="en-IN"/>
              </w:rPr>
            </w:pPr>
          </w:p>
          <w:p w:rsidR="00594806" w:rsidRDefault="00594806" w:rsidP="00594806">
            <w:pPr>
              <w:spacing w:after="0"/>
              <w:ind w:left="0" w:firstLine="0"/>
              <w:rPr>
                <w:rFonts w:asciiTheme="minorHAnsi" w:hAnsiTheme="minorHAnsi" w:cstheme="minorHAnsi"/>
                <w:bCs/>
                <w:sz w:val="20"/>
                <w:szCs w:val="20"/>
              </w:rPr>
            </w:pPr>
          </w:p>
          <w:p w:rsidR="00594806" w:rsidRPr="00296D59" w:rsidRDefault="00594806" w:rsidP="00594806">
            <w:pPr>
              <w:spacing w:after="0"/>
              <w:jc w:val="center"/>
              <w:rPr>
                <w:rFonts w:asciiTheme="minorHAnsi" w:hAnsiTheme="minorHAnsi" w:cstheme="minorHAnsi"/>
                <w:sz w:val="20"/>
                <w:szCs w:val="20"/>
              </w:rPr>
            </w:pPr>
            <w:r>
              <w:rPr>
                <w:rFonts w:asciiTheme="minorHAnsi" w:hAnsiTheme="minorHAnsi" w:cstheme="minorHAnsi"/>
                <w:bCs/>
                <w:sz w:val="20"/>
                <w:szCs w:val="20"/>
              </w:rPr>
              <w:t>21.03.2015</w:t>
            </w:r>
          </w:p>
          <w:p w:rsidR="00594806" w:rsidRPr="00296D59" w:rsidRDefault="00594806" w:rsidP="00594806">
            <w:pPr>
              <w:spacing w:after="0"/>
              <w:jc w:val="center"/>
              <w:rPr>
                <w:rFonts w:asciiTheme="minorHAnsi" w:hAnsiTheme="minorHAnsi" w:cstheme="minorHAnsi"/>
                <w:sz w:val="20"/>
                <w:szCs w:val="20"/>
              </w:rPr>
            </w:pPr>
          </w:p>
        </w:tc>
        <w:tc>
          <w:tcPr>
            <w:tcW w:w="1701" w:type="dxa"/>
          </w:tcPr>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Rs.67.04 lakhs</w:t>
            </w:r>
          </w:p>
          <w:p w:rsidR="00594806" w:rsidRDefault="00594806" w:rsidP="00594806">
            <w:pPr>
              <w:rPr>
                <w:rFonts w:asciiTheme="minorHAnsi" w:hAnsiTheme="minorHAnsi" w:cstheme="minorHAnsi"/>
                <w:sz w:val="20"/>
                <w:szCs w:val="20"/>
              </w:rPr>
            </w:pPr>
          </w:p>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Rs.6.70 lakhs</w:t>
            </w:r>
          </w:p>
          <w:p w:rsidR="00594806" w:rsidRPr="00296D59" w:rsidRDefault="00594806" w:rsidP="00594806">
            <w:pPr>
              <w:rPr>
                <w:rFonts w:asciiTheme="minorHAnsi" w:hAnsiTheme="minorHAnsi" w:cstheme="minorHAnsi"/>
                <w:sz w:val="20"/>
                <w:szCs w:val="20"/>
              </w:rPr>
            </w:pPr>
          </w:p>
          <w:p w:rsidR="00594806" w:rsidRPr="002744B2" w:rsidRDefault="00594806" w:rsidP="00594806">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594806" w:rsidRPr="00296D59" w:rsidRDefault="00594806" w:rsidP="00594806">
            <w:pPr>
              <w:spacing w:after="0"/>
              <w:rPr>
                <w:rFonts w:asciiTheme="minorHAnsi" w:hAnsiTheme="minorHAnsi" w:cstheme="minorHAnsi"/>
                <w:sz w:val="20"/>
                <w:szCs w:val="20"/>
              </w:rPr>
            </w:pPr>
            <w:r>
              <w:rPr>
                <w:rFonts w:asciiTheme="minorHAnsi" w:hAnsiTheme="minorHAnsi" w:cstheme="minorHAnsi"/>
                <w:sz w:val="20"/>
                <w:szCs w:val="20"/>
              </w:rPr>
              <w:t>Rs.0.20 lakhs</w:t>
            </w:r>
          </w:p>
          <w:p w:rsidR="00594806" w:rsidRPr="00296D59" w:rsidRDefault="00594806" w:rsidP="00594806">
            <w:pPr>
              <w:jc w:val="center"/>
              <w:rPr>
                <w:rFonts w:asciiTheme="minorHAnsi" w:hAnsiTheme="minorHAnsi" w:cstheme="minorHAnsi"/>
                <w:sz w:val="20"/>
                <w:szCs w:val="20"/>
              </w:rPr>
            </w:pPr>
          </w:p>
        </w:tc>
        <w:tc>
          <w:tcPr>
            <w:tcW w:w="1876" w:type="dxa"/>
          </w:tcPr>
          <w:p w:rsidR="00594806" w:rsidRDefault="00594806" w:rsidP="00594806">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28.1</w:t>
            </w:r>
            <w:r>
              <w:rPr>
                <w:rFonts w:asciiTheme="minorHAnsi" w:hAnsiTheme="minorHAnsi" w:cstheme="minorHAnsi"/>
                <w:b/>
                <w:bCs/>
                <w:color w:val="auto"/>
                <w:sz w:val="20"/>
                <w:szCs w:val="20"/>
              </w:rPr>
              <w:t>2</w:t>
            </w:r>
            <w:r>
              <w:rPr>
                <w:rFonts w:asciiTheme="minorHAnsi" w:hAnsiTheme="minorHAnsi" w:cstheme="minorHAnsi"/>
                <w:b/>
                <w:bCs/>
                <w:color w:val="auto"/>
                <w:sz w:val="20"/>
                <w:szCs w:val="20"/>
              </w:rPr>
              <w:t>.2023</w:t>
            </w:r>
          </w:p>
          <w:p w:rsidR="00594806" w:rsidRDefault="00594806" w:rsidP="00594806">
            <w:pPr>
              <w:spacing w:after="4" w:line="250" w:lineRule="auto"/>
              <w:ind w:left="-5"/>
              <w:jc w:val="left"/>
              <w:rPr>
                <w:rFonts w:asciiTheme="minorHAnsi" w:hAnsiTheme="minorHAnsi" w:cstheme="minorHAnsi"/>
                <w:bCs/>
                <w:sz w:val="20"/>
                <w:szCs w:val="20"/>
              </w:rPr>
            </w:pPr>
          </w:p>
          <w:p w:rsidR="00594806" w:rsidRPr="00594491" w:rsidRDefault="00594806" w:rsidP="00594806">
            <w:pPr>
              <w:spacing w:after="4" w:line="250" w:lineRule="auto"/>
              <w:ind w:left="-5"/>
              <w:jc w:val="left"/>
              <w:rPr>
                <w:rFonts w:asciiTheme="minorHAnsi" w:hAnsiTheme="minorHAnsi" w:cstheme="minorHAnsi"/>
                <w:b/>
                <w:bCs/>
                <w:sz w:val="20"/>
                <w:szCs w:val="20"/>
              </w:rPr>
            </w:pPr>
            <w:bookmarkStart w:id="0" w:name="_GoBack"/>
            <w:bookmarkEnd w:id="0"/>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 AM to 6.00</w:t>
            </w:r>
            <w:r w:rsidRPr="00594491">
              <w:rPr>
                <w:rFonts w:asciiTheme="minorHAnsi" w:hAnsiTheme="minorHAnsi" w:cstheme="minorHAnsi"/>
                <w:b/>
                <w:bCs/>
                <w:sz w:val="20"/>
                <w:szCs w:val="20"/>
              </w:rPr>
              <w:t xml:space="preserve"> PM </w:t>
            </w:r>
          </w:p>
          <w:p w:rsidR="00594806" w:rsidRPr="00E51C3B" w:rsidRDefault="00594806" w:rsidP="00594806">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594806" w:rsidRPr="00296D59" w:rsidRDefault="00594806" w:rsidP="00594806">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26.12</w:t>
            </w:r>
            <w:r w:rsidRPr="00C31DD2">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594806" w:rsidRPr="00296D59" w:rsidRDefault="00594806" w:rsidP="00594806">
            <w:pPr>
              <w:spacing w:after="0"/>
              <w:ind w:left="0" w:firstLine="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C31DD2" w:rsidRPr="00296D59" w:rsidRDefault="00C31DD2">
      <w:pPr>
        <w:spacing w:after="4" w:line="250" w:lineRule="auto"/>
        <w:ind w:left="-5"/>
        <w:jc w:val="left"/>
        <w:rPr>
          <w:rFonts w:asciiTheme="minorHAnsi" w:hAnsiTheme="minorHAnsi" w:cstheme="minorHAnsi"/>
          <w:sz w:val="20"/>
          <w:szCs w:val="20"/>
        </w:rPr>
      </w:pP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594806">
        <w:rPr>
          <w:rFonts w:asciiTheme="minorHAnsi" w:hAnsiTheme="minorHAnsi" w:cstheme="minorHAnsi"/>
          <w:b/>
          <w:bCs/>
          <w:sz w:val="20"/>
          <w:szCs w:val="20"/>
        </w:rPr>
        <w:t>07.12.</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Pr="00296D59"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594806">
        <w:rPr>
          <w:rFonts w:asciiTheme="minorHAnsi" w:hAnsiTheme="minorHAnsi" w:cstheme="minorHAnsi"/>
          <w:sz w:val="20"/>
          <w:szCs w:val="20"/>
        </w:rPr>
        <w:t>28.12.</w:t>
      </w:r>
      <w:r w:rsidR="00AE7BD1">
        <w:rPr>
          <w:rFonts w:asciiTheme="minorHAnsi" w:hAnsiTheme="minorHAnsi" w:cstheme="minorHAnsi"/>
          <w:sz w:val="20"/>
          <w:szCs w:val="20"/>
        </w:rPr>
        <w:t>2023</w:t>
      </w:r>
      <w:r w:rsidR="00321758" w:rsidRPr="00296D59">
        <w:rPr>
          <w:rFonts w:asciiTheme="minorHAnsi" w:hAnsiTheme="minorHAnsi" w:cstheme="minorHAnsi"/>
          <w:sz w:val="20"/>
          <w:szCs w:val="20"/>
        </w:rPr>
        <w:t xml:space="preserve"> (</w:t>
      </w:r>
      <w:proofErr w:type="gramStart"/>
      <w:r w:rsidR="00594806">
        <w:rPr>
          <w:rFonts w:asciiTheme="minorHAnsi" w:hAnsiTheme="minorHAnsi" w:cstheme="minorHAnsi"/>
          <w:sz w:val="20"/>
          <w:szCs w:val="20"/>
        </w:rPr>
        <w:t>10.:0</w:t>
      </w:r>
      <w:proofErr w:type="gramEnd"/>
      <w:r w:rsidR="00594806">
        <w:rPr>
          <w:rFonts w:asciiTheme="minorHAnsi" w:hAnsiTheme="minorHAnsi" w:cstheme="minorHAnsi"/>
          <w:sz w:val="20"/>
          <w:szCs w:val="20"/>
        </w:rPr>
        <w:t>0 AM</w:t>
      </w:r>
      <w:r w:rsidR="00321758" w:rsidRPr="00296D59">
        <w:rPr>
          <w:rFonts w:asciiTheme="minorHAnsi" w:hAnsiTheme="minorHAnsi" w:cstheme="minorHAnsi"/>
          <w:sz w:val="20"/>
          <w:szCs w:val="20"/>
        </w:rPr>
        <w:t xml:space="preserve"> to </w:t>
      </w:r>
      <w:r w:rsidR="00594806">
        <w:rPr>
          <w:rFonts w:asciiTheme="minorHAnsi" w:hAnsiTheme="minorHAnsi" w:cstheme="minorHAnsi"/>
          <w:sz w:val="20"/>
          <w:szCs w:val="20"/>
        </w:rPr>
        <w:t>06</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The intending Bidders/Purchasers are requested to register on portal (https:</w:t>
      </w:r>
      <w:r w:rsidR="00594806" w:rsidRPr="00296D59">
        <w:rPr>
          <w:rFonts w:asciiTheme="minorHAnsi" w:hAnsiTheme="minorHAnsi" w:cstheme="minorHAnsi"/>
          <w:sz w:val="20"/>
          <w:szCs w:val="20"/>
        </w:rPr>
        <w:t>www.mstcecommerce.com</w:t>
      </w:r>
      <w:r w:rsidR="00321758" w:rsidRPr="00296D59">
        <w:rPr>
          <w:rFonts w:asciiTheme="minorHAnsi" w:hAnsiTheme="minorHAnsi" w:cstheme="minorHAnsi"/>
          <w:sz w:val="20"/>
          <w:szCs w:val="20"/>
        </w:rPr>
        <w:t xml:space="preserve">)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w:t>
      </w:r>
      <w:r w:rsidR="00321758" w:rsidRPr="00296D59">
        <w:rPr>
          <w:rFonts w:asciiTheme="minorHAnsi" w:hAnsiTheme="minorHAnsi" w:cstheme="minorHAnsi"/>
          <w:sz w:val="20"/>
          <w:szCs w:val="20"/>
        </w:rPr>
        <w:lastRenderedPageBreak/>
        <w:t xml:space="preserve">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lastRenderedPageBreak/>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594806">
        <w:rPr>
          <w:rFonts w:asciiTheme="minorHAnsi" w:hAnsiTheme="minorHAnsi" w:cstheme="minorHAnsi"/>
          <w:b/>
          <w:sz w:val="20"/>
          <w:szCs w:val="20"/>
        </w:rPr>
        <w:t>22.12</w:t>
      </w:r>
      <w:r w:rsidR="00AE7BD1">
        <w:rPr>
          <w:rFonts w:asciiTheme="minorHAnsi" w:hAnsiTheme="minorHAnsi" w:cstheme="minorHAnsi"/>
          <w:b/>
          <w:sz w:val="20"/>
          <w:szCs w:val="20"/>
        </w:rPr>
        <w:t>.2023.</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594806">
        <w:rPr>
          <w:rFonts w:asciiTheme="minorHAnsi" w:hAnsiTheme="minorHAnsi" w:cstheme="minorHAnsi"/>
          <w:b/>
          <w:bCs/>
          <w:sz w:val="20"/>
          <w:szCs w:val="20"/>
        </w:rPr>
        <w:t>07.12.2023</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A0" w:rsidRDefault="00F010A0">
      <w:pPr>
        <w:spacing w:after="0" w:line="240" w:lineRule="auto"/>
      </w:pPr>
      <w:r>
        <w:separator/>
      </w:r>
    </w:p>
  </w:endnote>
  <w:endnote w:type="continuationSeparator" w:id="0">
    <w:p w:rsidR="00F010A0" w:rsidRDefault="00F0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A0" w:rsidRDefault="00F010A0">
      <w:pPr>
        <w:spacing w:after="0" w:line="240" w:lineRule="auto"/>
      </w:pPr>
      <w:r>
        <w:separator/>
      </w:r>
    </w:p>
  </w:footnote>
  <w:footnote w:type="continuationSeparator" w:id="0">
    <w:p w:rsidR="00F010A0" w:rsidRDefault="00F01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94806"/>
    <w:rsid w:val="005D186D"/>
    <w:rsid w:val="005E5505"/>
    <w:rsid w:val="00616A8D"/>
    <w:rsid w:val="00633010"/>
    <w:rsid w:val="006338F5"/>
    <w:rsid w:val="00635FCA"/>
    <w:rsid w:val="0067302D"/>
    <w:rsid w:val="006778E1"/>
    <w:rsid w:val="00682261"/>
    <w:rsid w:val="006B1DB0"/>
    <w:rsid w:val="006C2EFD"/>
    <w:rsid w:val="006C41B9"/>
    <w:rsid w:val="006D5028"/>
    <w:rsid w:val="007325F3"/>
    <w:rsid w:val="00741F8C"/>
    <w:rsid w:val="00746F17"/>
    <w:rsid w:val="007634C1"/>
    <w:rsid w:val="00763DA4"/>
    <w:rsid w:val="00772767"/>
    <w:rsid w:val="007B54DC"/>
    <w:rsid w:val="007C11EA"/>
    <w:rsid w:val="007F6974"/>
    <w:rsid w:val="00807F07"/>
    <w:rsid w:val="00811F7E"/>
    <w:rsid w:val="008171B6"/>
    <w:rsid w:val="00836AA4"/>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873C3"/>
    <w:rsid w:val="00BC0097"/>
    <w:rsid w:val="00C07F7F"/>
    <w:rsid w:val="00C20F98"/>
    <w:rsid w:val="00C23F4B"/>
    <w:rsid w:val="00C313BB"/>
    <w:rsid w:val="00C31DD2"/>
    <w:rsid w:val="00C36F45"/>
    <w:rsid w:val="00C51BE1"/>
    <w:rsid w:val="00C93344"/>
    <w:rsid w:val="00C94818"/>
    <w:rsid w:val="00C96DF2"/>
    <w:rsid w:val="00CD05CD"/>
    <w:rsid w:val="00D43534"/>
    <w:rsid w:val="00D46E88"/>
    <w:rsid w:val="00D6022D"/>
    <w:rsid w:val="00D76B0B"/>
    <w:rsid w:val="00D950CD"/>
    <w:rsid w:val="00DA0B8B"/>
    <w:rsid w:val="00DD2478"/>
    <w:rsid w:val="00DD48AF"/>
    <w:rsid w:val="00DD6E42"/>
    <w:rsid w:val="00E02399"/>
    <w:rsid w:val="00E41CDB"/>
    <w:rsid w:val="00E51864"/>
    <w:rsid w:val="00E51C3B"/>
    <w:rsid w:val="00E57F15"/>
    <w:rsid w:val="00E64576"/>
    <w:rsid w:val="00E71658"/>
    <w:rsid w:val="00E73D46"/>
    <w:rsid w:val="00E91162"/>
    <w:rsid w:val="00ED316C"/>
    <w:rsid w:val="00ED4656"/>
    <w:rsid w:val="00EF364D"/>
    <w:rsid w:val="00F010A0"/>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9738-1095-45A5-87E3-D41F1C90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2022-11-14T10:48:00Z</cp:lastPrinted>
  <dcterms:created xsi:type="dcterms:W3CDTF">2023-12-06T10:19:00Z</dcterms:created>
  <dcterms:modified xsi:type="dcterms:W3CDTF">2023-12-06T10:27:00Z</dcterms:modified>
</cp:coreProperties>
</file>