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(North)</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1F7DE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Renovation</w:t>
      </w:r>
      <w:r w:rsidR="00454825" w:rsidRPr="00534FB9">
        <w:rPr>
          <w:rFonts w:ascii="Century Gothic" w:hAnsi="Century Gothic" w:cs="Arial"/>
          <w:color w:val="000000"/>
        </w:rPr>
        <w:t xml:space="preserve">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C0E86">
        <w:rPr>
          <w:rFonts w:ascii="Century Gothic" w:hAnsi="Century Gothic" w:cs="Arial"/>
          <w:color w:val="000000"/>
        </w:rPr>
        <w:t xml:space="preserve">, </w:t>
      </w:r>
      <w:proofErr w:type="gramStart"/>
      <w:r w:rsidR="00F61AA4" w:rsidRPr="00534FB9">
        <w:rPr>
          <w:rFonts w:ascii="Century Gothic" w:hAnsi="Century Gothic" w:cs="Arial"/>
          <w:color w:val="000000"/>
        </w:rPr>
        <w:t>Air</w:t>
      </w:r>
      <w:proofErr w:type="gramEnd"/>
      <w:r w:rsidR="00F61AA4" w:rsidRPr="00534FB9">
        <w:rPr>
          <w:rFonts w:ascii="Century Gothic" w:hAnsi="Century Gothic" w:cs="Arial"/>
          <w:color w:val="000000"/>
        </w:rPr>
        <w:t>-conditioning</w:t>
      </w:r>
      <w:r w:rsidR="00DC0E86">
        <w:rPr>
          <w:rFonts w:ascii="Century Gothic" w:hAnsi="Century Gothic" w:cs="Arial"/>
          <w:color w:val="000000"/>
        </w:rPr>
        <w:t xml:space="preserve"> &amp; Civil</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DC0E86">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9F15CF"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r w:rsidR="001F7DE0">
        <w:rPr>
          <w:rFonts w:ascii="Century Gothic" w:hAnsi="Century Gothic" w:cs="Arial"/>
          <w:color w:val="000000"/>
        </w:rPr>
        <w:t>Baranagar</w:t>
      </w:r>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(North)</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1F7DE0">
        <w:rPr>
          <w:rFonts w:ascii="Century Gothic" w:hAnsi="Century Gothic" w:cs="Arial"/>
          <w:b/>
          <w:bCs/>
          <w:color w:val="FF0000"/>
        </w:rPr>
        <w:t>2</w:t>
      </w:r>
      <w:r w:rsidR="007077FA">
        <w:rPr>
          <w:rFonts w:ascii="Century Gothic" w:hAnsi="Century Gothic" w:cs="Arial"/>
          <w:b/>
          <w:bCs/>
          <w:color w:val="FF0000"/>
        </w:rPr>
        <w:t>5.03</w:t>
      </w:r>
      <w:r w:rsidR="001F7DE0">
        <w:rPr>
          <w:rFonts w:ascii="Century Gothic" w:hAnsi="Century Gothic" w:cs="Arial"/>
          <w:b/>
          <w:bCs/>
          <w:color w:val="FF0000"/>
        </w:rPr>
        <w:t>.2025</w:t>
      </w:r>
      <w:r w:rsidR="006E5F23">
        <w:rPr>
          <w:rFonts w:ascii="Century Gothic" w:hAnsi="Century Gothic" w:cs="Arial"/>
          <w:b/>
          <w:bCs/>
          <w:color w:val="FF0000"/>
        </w:rPr>
        <w:t xml:space="preserve"> </w:t>
      </w:r>
      <w:r w:rsidR="006E5F23">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(North)</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30710C" w:rsidRPr="00DA4CC0">
          <w:rPr>
            <w:rStyle w:val="Hyperlink"/>
            <w:rFonts w:ascii="Century Gothic" w:eastAsia="Arial" w:hAnsi="Century Gothic"/>
            <w:bCs/>
          </w:rPr>
          <w:t>gadkolknro@centralbank.co.in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1F7DE0"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1F7DE0"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highlight w:val="yellow"/>
        </w:rPr>
        <w:t>Baranagar</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(North)</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5120E4">
            <w:pPr>
              <w:spacing w:before="120" w:after="120"/>
              <w:jc w:val="center"/>
              <w:rPr>
                <w:rFonts w:ascii="Century Gothic" w:hAnsi="Century Gothic" w:cs="Arial"/>
              </w:rPr>
            </w:pPr>
            <w:r>
              <w:rPr>
                <w:rFonts w:ascii="Century Gothic" w:hAnsi="Century Gothic" w:cs="Arial"/>
              </w:rPr>
              <w:t>3</w:t>
            </w:r>
            <w:r w:rsidR="005120E4">
              <w:rPr>
                <w:rFonts w:ascii="Century Gothic" w:hAnsi="Century Gothic" w:cs="Arial"/>
              </w:rPr>
              <w:t>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826E8E">
        <w:trPr>
          <w:trHeight w:val="593"/>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9270F4">
            <w:pPr>
              <w:spacing w:after="0"/>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9270F4">
            <w:pPr>
              <w:spacing w:after="0"/>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072888" w:rsidP="009270F4">
            <w:pPr>
              <w:spacing w:after="0"/>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7077FA">
            <w:pPr>
              <w:spacing w:after="0"/>
              <w:rPr>
                <w:rFonts w:ascii="Arial" w:eastAsia="Arial" w:hAnsi="Arial"/>
                <w:sz w:val="20"/>
                <w:szCs w:val="20"/>
              </w:rPr>
            </w:pPr>
            <w:r w:rsidRPr="00534FB9">
              <w:rPr>
                <w:rFonts w:ascii="Century Gothic" w:hAnsi="Century Gothic" w:cs="Arial"/>
                <w:sz w:val="20"/>
                <w:szCs w:val="20"/>
              </w:rPr>
              <w:t xml:space="preserve">from </w:t>
            </w:r>
            <w:r w:rsidR="007077FA">
              <w:rPr>
                <w:rFonts w:ascii="Century Gothic" w:hAnsi="Century Gothic" w:cs="Arial"/>
                <w:b/>
                <w:color w:val="FF0000"/>
                <w:sz w:val="20"/>
                <w:szCs w:val="20"/>
              </w:rPr>
              <w:t>03</w:t>
            </w:r>
            <w:r w:rsidR="001F7DE0">
              <w:rPr>
                <w:rFonts w:ascii="Century Gothic" w:hAnsi="Century Gothic" w:cs="Arial"/>
                <w:b/>
                <w:color w:val="FF0000"/>
                <w:sz w:val="20"/>
                <w:szCs w:val="20"/>
              </w:rPr>
              <w:t>.0</w:t>
            </w:r>
            <w:r w:rsidR="007077FA">
              <w:rPr>
                <w:rFonts w:ascii="Century Gothic" w:hAnsi="Century Gothic" w:cs="Arial"/>
                <w:b/>
                <w:color w:val="FF0000"/>
                <w:sz w:val="20"/>
                <w:szCs w:val="20"/>
              </w:rPr>
              <w:t>3</w:t>
            </w:r>
            <w:r w:rsidR="001F7DE0">
              <w:rPr>
                <w:rFonts w:ascii="Century Gothic" w:hAnsi="Century Gothic" w:cs="Arial"/>
                <w:b/>
                <w:color w:val="FF0000"/>
                <w:sz w:val="20"/>
                <w:szCs w:val="20"/>
              </w:rPr>
              <w:t>.2025</w:t>
            </w:r>
          </w:p>
        </w:tc>
      </w:tr>
      <w:tr w:rsidR="005A0A9A" w:rsidRPr="00534FB9" w:rsidTr="00826E8E">
        <w:trPr>
          <w:trHeight w:val="512"/>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1F7DE0" w:rsidP="009270F4">
            <w:pPr>
              <w:spacing w:after="0"/>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(North)</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1F7DE0" w:rsidP="009270F4">
            <w:pPr>
              <w:spacing w:after="0"/>
              <w:jc w:val="both"/>
              <w:rPr>
                <w:rFonts w:ascii="Century Gothic" w:hAnsi="Century Gothic" w:cs="Arial"/>
                <w:sz w:val="20"/>
                <w:szCs w:val="20"/>
              </w:rPr>
            </w:pPr>
            <w:r>
              <w:rPr>
                <w:rFonts w:ascii="Arial" w:hAnsi="Arial" w:cs="Arial"/>
                <w:b/>
                <w:bCs/>
                <w:color w:val="FF0000"/>
                <w:sz w:val="20"/>
                <w:szCs w:val="20"/>
              </w:rPr>
              <w:t xml:space="preserve">₹ </w:t>
            </w:r>
            <w:r>
              <w:rPr>
                <w:rFonts w:ascii="Century Gothic" w:hAnsi="Century Gothic" w:cs="Arial"/>
                <w:b/>
                <w:bCs/>
                <w:color w:val="FF0000"/>
                <w:sz w:val="20"/>
                <w:szCs w:val="20"/>
              </w:rPr>
              <w:t>31,000</w:t>
            </w:r>
            <w:r w:rsidR="005A0A9A" w:rsidRPr="00534FB9">
              <w:rPr>
                <w:rFonts w:ascii="Century Gothic" w:hAnsi="Century Gothic" w:cs="Arial"/>
                <w:b/>
                <w:bCs/>
                <w:color w:val="FF0000"/>
                <w:sz w:val="20"/>
                <w:szCs w:val="20"/>
              </w:rPr>
              <w:t>/- (</w:t>
            </w:r>
            <w:r w:rsidR="00695081">
              <w:rPr>
                <w:rFonts w:ascii="Century Gothic" w:hAnsi="Century Gothic" w:cs="Arial"/>
                <w:b/>
                <w:bCs/>
                <w:color w:val="FF0000"/>
                <w:sz w:val="20"/>
                <w:szCs w:val="20"/>
              </w:rPr>
              <w:t>Twenty Four</w:t>
            </w:r>
            <w:r w:rsidR="00720CF8">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9F15CF">
              <w:rPr>
                <w:rFonts w:ascii="Century Gothic" w:hAnsi="Century Gothic" w:cs="Arial"/>
                <w:sz w:val="20"/>
                <w:szCs w:val="20"/>
              </w:rPr>
              <w:t xml:space="preserve">About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1F7DE0" w:rsidP="001F7DE0">
            <w:pPr>
              <w:spacing w:after="0"/>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Pr>
                <w:rFonts w:ascii="Century Gothic" w:hAnsi="Century Gothic" w:cs="Arial"/>
                <w:b/>
                <w:bCs/>
                <w:color w:val="FF0000"/>
                <w:sz w:val="20"/>
                <w:szCs w:val="20"/>
              </w:rPr>
              <w:t>15,56,785</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1F7DE0" w:rsidP="007077FA">
            <w:pPr>
              <w:spacing w:after="0"/>
              <w:rPr>
                <w:rFonts w:ascii="Century Gothic" w:hAnsi="Century Gothic" w:cs="Arial"/>
                <w:b/>
                <w:bCs/>
                <w:sz w:val="20"/>
                <w:szCs w:val="20"/>
              </w:rPr>
            </w:pPr>
            <w:r>
              <w:rPr>
                <w:rFonts w:ascii="Century Gothic" w:hAnsi="Century Gothic" w:cs="Arial"/>
                <w:b/>
                <w:bCs/>
                <w:color w:val="FF0000"/>
                <w:sz w:val="20"/>
                <w:szCs w:val="20"/>
              </w:rPr>
              <w:t>2</w:t>
            </w:r>
            <w:r w:rsidR="007077FA">
              <w:rPr>
                <w:rFonts w:ascii="Century Gothic" w:hAnsi="Century Gothic" w:cs="Arial"/>
                <w:b/>
                <w:bCs/>
                <w:color w:val="FF0000"/>
                <w:sz w:val="20"/>
                <w:szCs w:val="20"/>
              </w:rPr>
              <w:t>5</w:t>
            </w:r>
            <w:r>
              <w:rPr>
                <w:rFonts w:ascii="Century Gothic" w:hAnsi="Century Gothic" w:cs="Arial"/>
                <w:b/>
                <w:bCs/>
                <w:color w:val="FF0000"/>
                <w:sz w:val="20"/>
                <w:szCs w:val="20"/>
              </w:rPr>
              <w:t>.0</w:t>
            </w:r>
            <w:r w:rsidR="007077FA">
              <w:rPr>
                <w:rFonts w:ascii="Century Gothic" w:hAnsi="Century Gothic" w:cs="Arial"/>
                <w:b/>
                <w:bCs/>
                <w:color w:val="FF0000"/>
                <w:sz w:val="20"/>
                <w:szCs w:val="20"/>
              </w:rPr>
              <w:t>3</w:t>
            </w:r>
            <w:r>
              <w:rPr>
                <w:rFonts w:ascii="Century Gothic" w:hAnsi="Century Gothic" w:cs="Arial"/>
                <w:b/>
                <w:bCs/>
                <w:color w:val="FF0000"/>
                <w:sz w:val="20"/>
                <w:szCs w:val="20"/>
              </w:rPr>
              <w:t>.2025</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9270F4">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9270F4">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9270F4">
            <w:pPr>
              <w:spacing w:after="0"/>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1F7DE0" w:rsidP="007077FA">
            <w:pPr>
              <w:spacing w:after="0"/>
              <w:jc w:val="both"/>
              <w:rPr>
                <w:rFonts w:ascii="Century Gothic" w:hAnsi="Century Gothic" w:cs="Arial"/>
                <w:b/>
                <w:bCs/>
                <w:sz w:val="20"/>
                <w:szCs w:val="20"/>
              </w:rPr>
            </w:pPr>
            <w:r>
              <w:rPr>
                <w:rFonts w:ascii="Century Gothic" w:hAnsi="Century Gothic" w:cs="Arial"/>
                <w:b/>
                <w:color w:val="FF0000"/>
                <w:sz w:val="20"/>
                <w:szCs w:val="20"/>
              </w:rPr>
              <w:t>2</w:t>
            </w:r>
            <w:r w:rsidR="007077FA">
              <w:rPr>
                <w:rFonts w:ascii="Century Gothic" w:hAnsi="Century Gothic" w:cs="Arial"/>
                <w:b/>
                <w:color w:val="FF0000"/>
                <w:sz w:val="20"/>
                <w:szCs w:val="20"/>
              </w:rPr>
              <w:t>5</w:t>
            </w:r>
            <w:r>
              <w:rPr>
                <w:rFonts w:ascii="Century Gothic" w:hAnsi="Century Gothic" w:cs="Arial"/>
                <w:b/>
                <w:color w:val="FF0000"/>
                <w:sz w:val="20"/>
                <w:szCs w:val="20"/>
              </w:rPr>
              <w:t>.0</w:t>
            </w:r>
            <w:r w:rsidR="007077FA">
              <w:rPr>
                <w:rFonts w:ascii="Century Gothic" w:hAnsi="Century Gothic" w:cs="Arial"/>
                <w:b/>
                <w:color w:val="FF0000"/>
                <w:sz w:val="20"/>
                <w:szCs w:val="20"/>
              </w:rPr>
              <w:t>3</w:t>
            </w:r>
            <w:r>
              <w:rPr>
                <w:rFonts w:ascii="Century Gothic" w:hAnsi="Century Gothic" w:cs="Arial"/>
                <w:b/>
                <w:color w:val="FF0000"/>
                <w:sz w:val="20"/>
                <w:szCs w:val="20"/>
              </w:rPr>
              <w:t>.2025</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9270F4">
            <w:pPr>
              <w:spacing w:after="0"/>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(North)</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9270F4">
            <w:pPr>
              <w:spacing w:after="0"/>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9270F4">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9270F4">
            <w:pPr>
              <w:spacing w:after="0"/>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533C8C" w:rsidP="009270F4">
            <w:pPr>
              <w:spacing w:after="0"/>
              <w:ind w:left="4320" w:hanging="4320"/>
              <w:rPr>
                <w:rFonts w:ascii="Century Gothic" w:hAnsi="Century Gothic" w:cs="Arial"/>
                <w:sz w:val="20"/>
                <w:szCs w:val="20"/>
              </w:rPr>
            </w:pPr>
            <w:r>
              <w:rPr>
                <w:rFonts w:ascii="Century Gothic" w:hAnsi="Century Gothic" w:cs="Arial"/>
                <w:b/>
                <w:bCs/>
                <w:sz w:val="20"/>
                <w:szCs w:val="20"/>
              </w:rPr>
              <w:t>45</w:t>
            </w:r>
            <w:r w:rsidR="003008F8" w:rsidRPr="00534FB9">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4C13FB">
        <w:trPr>
          <w:trHeight w:val="557"/>
        </w:trPr>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3008F8" w:rsidRPr="00534FB9" w:rsidRDefault="003008F8" w:rsidP="009270F4">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9270F4">
            <w:pPr>
              <w:tabs>
                <w:tab w:val="left" w:pos="3585"/>
              </w:tabs>
              <w:spacing w:after="0"/>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 xml:space="preserve">shall pay the amount with in a period of one month from date of issue of certificate </w:t>
            </w:r>
            <w:r w:rsidRPr="00534FB9">
              <w:rPr>
                <w:rFonts w:ascii="Century Gothic" w:hAnsi="Century Gothic"/>
                <w:sz w:val="20"/>
                <w:szCs w:val="20"/>
              </w:rPr>
              <w:lastRenderedPageBreak/>
              <w:t>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9270F4">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9270F4">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9270F4">
            <w:pPr>
              <w:spacing w:after="0"/>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9270F4" w:rsidRPr="00534FB9" w:rsidTr="009270F4">
        <w:trPr>
          <w:trHeight w:val="1386"/>
        </w:trPr>
        <w:tc>
          <w:tcPr>
            <w:tcW w:w="558" w:type="dxa"/>
            <w:vAlign w:val="center"/>
          </w:tcPr>
          <w:p w:rsidR="009270F4" w:rsidRPr="00534FB9" w:rsidRDefault="009270F4" w:rsidP="009270F4">
            <w:pPr>
              <w:spacing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9270F4" w:rsidRPr="00534FB9" w:rsidRDefault="009270F4" w:rsidP="009270F4">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9270F4" w:rsidRPr="009270F4" w:rsidRDefault="009270F4" w:rsidP="009270F4">
            <w:pPr>
              <w:spacing w:after="0"/>
              <w:jc w:val="both"/>
              <w:rPr>
                <w:rFonts w:ascii="Century Gothic" w:hAnsi="Century Gothic" w:cs="Arial"/>
                <w:sz w:val="20"/>
                <w:szCs w:val="20"/>
              </w:rPr>
            </w:pPr>
            <w:r w:rsidRPr="009270F4">
              <w:rPr>
                <w:rFonts w:ascii="Century Gothic" w:hAnsi="Century Gothic" w:cs="Arial"/>
                <w:sz w:val="20"/>
                <w:szCs w:val="20"/>
              </w:rPr>
              <w:t>IN CASE TENDERED RATE IS BELOW CERTAIN 15 % OF BANK’S ARCHITECT’S ESTMATE, SEPERTATE BOND OF AMOUNT EQUIVALENT TO 25% OF DIFFERENCE OF BANK’S ESTIMATE &amp; L1 AMOUNT WILL BE REQUIRED FROM TENDRER FOR THE QUALITY OF WORK/ WORKMANSHIP AS PER DRGS. &amp; SPECIFICATIONS.</w:t>
            </w:r>
          </w:p>
        </w:tc>
      </w:tr>
      <w:tr w:rsidR="00452BEF" w:rsidRPr="00534FB9" w:rsidTr="00826E8E">
        <w:tc>
          <w:tcPr>
            <w:tcW w:w="558" w:type="dxa"/>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9270F4">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270F4">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9270F4">
            <w:pPr>
              <w:spacing w:after="0"/>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270F4">
            <w:pPr>
              <w:spacing w:after="0"/>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270F4">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9270F4">
            <w:pPr>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4C13FB">
        <w:trPr>
          <w:trHeight w:val="2549"/>
        </w:trPr>
        <w:tc>
          <w:tcPr>
            <w:tcW w:w="558" w:type="dxa"/>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23</w:t>
            </w:r>
          </w:p>
        </w:tc>
        <w:tc>
          <w:tcPr>
            <w:tcW w:w="2880" w:type="dxa"/>
            <w:shd w:val="clear" w:color="auto" w:fill="auto"/>
            <w:vAlign w:val="center"/>
          </w:tcPr>
          <w:p w:rsidR="00BB2AF6" w:rsidRPr="00534FB9" w:rsidRDefault="001C7B4A" w:rsidP="009270F4">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9270F4">
            <w:pPr>
              <w:spacing w:after="60"/>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9270F4">
            <w:pPr>
              <w:pStyle w:val="ListParagraph"/>
              <w:numPr>
                <w:ilvl w:val="0"/>
                <w:numId w:val="32"/>
              </w:numPr>
              <w:spacing w:line="276" w:lineRule="auto"/>
              <w:rPr>
                <w:rFonts w:ascii="Century Gothic" w:hAnsi="Century Gothic" w:cs="Arial"/>
                <w:sz w:val="20"/>
                <w:szCs w:val="20"/>
              </w:rPr>
            </w:pPr>
            <w:r w:rsidRPr="00511316">
              <w:rPr>
                <w:rFonts w:ascii="Century Gothic" w:hAnsi="Century Gothic" w:cs="Arial"/>
                <w:sz w:val="20"/>
                <w:szCs w:val="20"/>
              </w:rPr>
              <w:t xml:space="preserve">copy of Class “A” license of Electrical Contractor valid as on </w:t>
            </w:r>
            <w:r w:rsidR="004C13FB">
              <w:rPr>
                <w:rFonts w:ascii="Century Gothic" w:hAnsi="Century Gothic" w:cs="Arial"/>
                <w:sz w:val="20"/>
                <w:szCs w:val="20"/>
              </w:rPr>
              <w:t>0</w:t>
            </w:r>
            <w:r w:rsidR="005356F9">
              <w:rPr>
                <w:rFonts w:ascii="Century Gothic" w:hAnsi="Century Gothic" w:cs="Arial"/>
                <w:sz w:val="20"/>
                <w:szCs w:val="20"/>
              </w:rPr>
              <w:t>3</w:t>
            </w:r>
            <w:r w:rsidR="004C13FB">
              <w:rPr>
                <w:rFonts w:ascii="Century Gothic" w:hAnsi="Century Gothic" w:cs="Arial"/>
                <w:sz w:val="20"/>
                <w:szCs w:val="20"/>
              </w:rPr>
              <w:t>.0</w:t>
            </w:r>
            <w:r w:rsidR="005356F9">
              <w:rPr>
                <w:rFonts w:ascii="Century Gothic" w:hAnsi="Century Gothic" w:cs="Arial"/>
                <w:sz w:val="20"/>
                <w:szCs w:val="20"/>
              </w:rPr>
              <w:t>3</w:t>
            </w:r>
            <w:r w:rsidR="004C13FB">
              <w:rPr>
                <w:rFonts w:ascii="Century Gothic" w:hAnsi="Century Gothic" w:cs="Arial"/>
                <w:sz w:val="20"/>
                <w:szCs w:val="20"/>
              </w:rPr>
              <w:t>.2025</w:t>
            </w:r>
          </w:p>
          <w:p w:rsidR="00BB2AF6" w:rsidRPr="00511316" w:rsidRDefault="00511316" w:rsidP="009270F4">
            <w:pPr>
              <w:pStyle w:val="ListParagraph"/>
              <w:numPr>
                <w:ilvl w:val="0"/>
                <w:numId w:val="32"/>
              </w:numPr>
              <w:spacing w:line="276"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4C13FB">
        <w:trPr>
          <w:trHeight w:val="3788"/>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4C13FB">
        <w:trPr>
          <w:trHeight w:val="1816"/>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9270F4">
        <w:trPr>
          <w:trHeight w:val="490"/>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All material and makes shall be as per specifications any </w:t>
            </w:r>
            <w:r w:rsidRPr="00534FB9">
              <w:rPr>
                <w:rFonts w:ascii="Century Gothic" w:eastAsia="Times New Roman" w:hAnsi="Century Gothic" w:cs="Arial"/>
                <w:sz w:val="20"/>
                <w:szCs w:val="20"/>
              </w:rPr>
              <w:lastRenderedPageBreak/>
              <w:t>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32</w:t>
            </w:r>
          </w:p>
        </w:tc>
        <w:tc>
          <w:tcPr>
            <w:tcW w:w="2880" w:type="dxa"/>
            <w:shd w:val="clear" w:color="auto" w:fill="auto"/>
            <w:vAlign w:val="center"/>
          </w:tcPr>
          <w:p w:rsidR="006A61E8" w:rsidRPr="00534FB9" w:rsidRDefault="00EA7592"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9270F4">
            <w:pPr>
              <w:spacing w:before="120" w:after="0"/>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9270F4">
            <w:pPr>
              <w:spacing w:before="120" w:after="0"/>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9270F4" w:rsidRPr="00534FB9" w:rsidRDefault="009270F4"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Pr="00534FB9" w:rsidRDefault="009270F4"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76B11CA9" wp14:editId="03A588E4">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016802">
        <w:rPr>
          <w:rFonts w:ascii="Century Gothic" w:hAnsi="Century Gothic" w:cs="Arial"/>
          <w:b/>
          <w:bCs/>
          <w:smallCaps/>
          <w:color w:val="FF0000"/>
          <w:sz w:val="20"/>
          <w:szCs w:val="20"/>
        </w:rPr>
        <w:t>KOL:N:</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016802">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016802">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982556">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AE2EEF">
        <w:rPr>
          <w:rFonts w:ascii="Century Gothic" w:hAnsi="Century Gothic" w:cs="Arial"/>
          <w:b/>
          <w:bCs/>
          <w:color w:val="FF0000"/>
          <w:sz w:val="20"/>
          <w:szCs w:val="20"/>
        </w:rPr>
        <w:t>03</w:t>
      </w:r>
      <w:r w:rsidR="004C13FB">
        <w:rPr>
          <w:rFonts w:ascii="Century Gothic" w:hAnsi="Century Gothic" w:cs="Arial"/>
          <w:b/>
          <w:bCs/>
          <w:color w:val="FF0000"/>
          <w:sz w:val="20"/>
          <w:szCs w:val="20"/>
        </w:rPr>
        <w:t>.0</w:t>
      </w:r>
      <w:r w:rsidR="00AE2EEF">
        <w:rPr>
          <w:rFonts w:ascii="Century Gothic" w:hAnsi="Century Gothic" w:cs="Arial"/>
          <w:b/>
          <w:bCs/>
          <w:color w:val="FF0000"/>
          <w:sz w:val="20"/>
          <w:szCs w:val="20"/>
        </w:rPr>
        <w:t>3</w:t>
      </w:r>
      <w:r w:rsidR="004C13FB">
        <w:rPr>
          <w:rFonts w:ascii="Century Gothic" w:hAnsi="Century Gothic" w:cs="Arial"/>
          <w:b/>
          <w:bCs/>
          <w:color w:val="FF0000"/>
          <w:sz w:val="20"/>
          <w:szCs w:val="20"/>
        </w:rPr>
        <w:t>.2025</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1F7DE0">
        <w:rPr>
          <w:rFonts w:ascii="Century Gothic" w:hAnsi="Century Gothic" w:cs="Arial"/>
          <w:b/>
          <w:sz w:val="20"/>
          <w:szCs w:val="20"/>
        </w:rPr>
        <w:t>Renovation</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1F7DE0">
        <w:rPr>
          <w:rFonts w:ascii="Century Gothic" w:hAnsi="Century Gothic" w:cs="Arial"/>
          <w:b/>
          <w:sz w:val="20"/>
          <w:szCs w:val="20"/>
        </w:rPr>
        <w:t>Baranagar</w:t>
      </w:r>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(North)</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(North)</w:t>
      </w:r>
      <w:r w:rsidR="000D18C1" w:rsidRPr="000D18C1">
        <w:rPr>
          <w:rFonts w:ascii="Century Gothic" w:hAnsi="Century Gothic" w:cs="Arial"/>
          <w:sz w:val="20"/>
          <w:szCs w:val="20"/>
          <w:highlight w:val="yellow"/>
        </w:rPr>
        <w:t xml:space="preserve">, </w:t>
      </w:r>
      <w:r w:rsidR="009C7A86">
        <w:rPr>
          <w:rFonts w:ascii="Century Gothic" w:hAnsi="Century Gothic" w:cs="Arial"/>
          <w:sz w:val="20"/>
          <w:szCs w:val="20"/>
          <w:highlight w:val="yellow"/>
        </w:rPr>
        <w:t>4</w:t>
      </w:r>
      <w:r w:rsidR="009C7A86" w:rsidRPr="009C7A86">
        <w:rPr>
          <w:rFonts w:ascii="Century Gothic" w:hAnsi="Century Gothic" w:cs="Arial"/>
          <w:sz w:val="20"/>
          <w:szCs w:val="20"/>
          <w:highlight w:val="yellow"/>
          <w:vertAlign w:val="superscript"/>
        </w:rPr>
        <w:t>TH</w:t>
      </w:r>
      <w:r w:rsidR="009C7A86">
        <w:rPr>
          <w:rFonts w:ascii="Century Gothic" w:hAnsi="Century Gothic" w:cs="Arial"/>
          <w:sz w:val="20"/>
          <w:szCs w:val="20"/>
          <w:highlight w:val="yellow"/>
        </w:rPr>
        <w:t xml:space="preserve"> Floor,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072888"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4C13FB">
        <w:rPr>
          <w:rFonts w:ascii="Century Gothic" w:hAnsi="Century Gothic" w:cs="Arial"/>
          <w:color w:val="FF0000"/>
          <w:sz w:val="20"/>
          <w:szCs w:val="20"/>
        </w:rPr>
        <w:t>2</w:t>
      </w:r>
      <w:r w:rsidR="00AE2EEF">
        <w:rPr>
          <w:rFonts w:ascii="Century Gothic" w:hAnsi="Century Gothic" w:cs="Arial"/>
          <w:color w:val="FF0000"/>
          <w:sz w:val="20"/>
          <w:szCs w:val="20"/>
        </w:rPr>
        <w:t>5</w:t>
      </w:r>
      <w:r w:rsidR="004C13FB">
        <w:rPr>
          <w:rFonts w:ascii="Century Gothic" w:hAnsi="Century Gothic" w:cs="Arial"/>
          <w:color w:val="FF0000"/>
          <w:sz w:val="20"/>
          <w:szCs w:val="20"/>
        </w:rPr>
        <w:t>.0</w:t>
      </w:r>
      <w:r w:rsidR="00AE2EEF">
        <w:rPr>
          <w:rFonts w:ascii="Century Gothic" w:hAnsi="Century Gothic" w:cs="Arial"/>
          <w:color w:val="FF0000"/>
          <w:sz w:val="20"/>
          <w:szCs w:val="20"/>
        </w:rPr>
        <w:t>3</w:t>
      </w:r>
      <w:r w:rsidR="004C13FB">
        <w:rPr>
          <w:rFonts w:ascii="Century Gothic" w:hAnsi="Century Gothic" w:cs="Arial"/>
          <w:color w:val="FF0000"/>
          <w:sz w:val="20"/>
          <w:szCs w:val="20"/>
        </w:rPr>
        <w:t>.2025</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bookmarkStart w:id="0" w:name="_GoBack"/>
      <w:r w:rsidR="004C13FB">
        <w:rPr>
          <w:rFonts w:ascii="Century Gothic" w:hAnsi="Century Gothic" w:cs="Arial"/>
          <w:color w:val="FF0000"/>
          <w:sz w:val="20"/>
          <w:szCs w:val="20"/>
        </w:rPr>
        <w:t>2</w:t>
      </w:r>
      <w:r w:rsidR="00AE2EEF">
        <w:rPr>
          <w:rFonts w:ascii="Century Gothic" w:hAnsi="Century Gothic" w:cs="Arial"/>
          <w:color w:val="FF0000"/>
          <w:sz w:val="20"/>
          <w:szCs w:val="20"/>
        </w:rPr>
        <w:t>5.03</w:t>
      </w:r>
      <w:bookmarkEnd w:id="0"/>
      <w:r w:rsidR="004C13FB">
        <w:rPr>
          <w:rFonts w:ascii="Century Gothic" w:hAnsi="Century Gothic" w:cs="Arial"/>
          <w:color w:val="FF0000"/>
          <w:sz w:val="20"/>
          <w:szCs w:val="20"/>
        </w:rPr>
        <w:t>.2025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(North)</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(North)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(North)</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1F7DE0">
        <w:rPr>
          <w:rFonts w:ascii="Century Gothic" w:hAnsi="Century Gothic" w:cs="Arial"/>
          <w:bCs/>
          <w:sz w:val="20"/>
          <w:szCs w:val="20"/>
        </w:rPr>
        <w:t>Renovation</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1F7DE0">
        <w:rPr>
          <w:rFonts w:ascii="Century Gothic" w:hAnsi="Century Gothic" w:cs="Arial"/>
          <w:color w:val="000000"/>
          <w:sz w:val="20"/>
          <w:szCs w:val="20"/>
        </w:rPr>
        <w:t>Baranagar</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(North)</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 xml:space="preserve">(Rs </w:t>
      </w:r>
      <w:r w:rsidR="00EA5D17">
        <w:rPr>
          <w:rFonts w:ascii="Century Gothic" w:hAnsi="Century Gothic"/>
          <w:b/>
          <w:bCs/>
          <w:sz w:val="20"/>
          <w:szCs w:val="20"/>
        </w:rPr>
        <w:t>6</w:t>
      </w:r>
      <w:proofErr w:type="gramStart"/>
      <w:r w:rsidR="00EA5D17">
        <w:rPr>
          <w:rFonts w:ascii="Century Gothic" w:hAnsi="Century Gothic"/>
          <w:b/>
          <w:bCs/>
          <w:sz w:val="20"/>
          <w:szCs w:val="20"/>
        </w:rPr>
        <w:t>,22,714</w:t>
      </w:r>
      <w:r w:rsidR="006916EB">
        <w:rPr>
          <w:rFonts w:ascii="Century Gothic" w:hAnsi="Century Gothic"/>
          <w:b/>
          <w:bCs/>
          <w:sz w:val="20"/>
          <w:szCs w:val="20"/>
        </w:rPr>
        <w:t>.00</w:t>
      </w:r>
      <w:proofErr w:type="gramEnd"/>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EA5D17">
        <w:rPr>
          <w:rFonts w:ascii="Arial" w:hAnsi="Arial" w:cs="Arial"/>
          <w:b/>
          <w:bCs/>
          <w:sz w:val="20"/>
          <w:szCs w:val="20"/>
        </w:rPr>
        <w:t>₹ 6</w:t>
      </w:r>
      <w:proofErr w:type="gramStart"/>
      <w:r w:rsidR="00EA5D17">
        <w:rPr>
          <w:rFonts w:ascii="Arial" w:hAnsi="Arial" w:cs="Arial"/>
          <w:b/>
          <w:bCs/>
          <w:sz w:val="20"/>
          <w:szCs w:val="20"/>
        </w:rPr>
        <w:t>,22,714</w:t>
      </w:r>
      <w:r w:rsidR="006916EB">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EA5D17">
        <w:rPr>
          <w:rFonts w:ascii="Arial" w:hAnsi="Arial" w:cs="Arial"/>
          <w:b/>
          <w:bCs/>
          <w:sz w:val="20"/>
          <w:szCs w:val="20"/>
        </w:rPr>
        <w:t>₹ 9</w:t>
      </w:r>
      <w:proofErr w:type="gramStart"/>
      <w:r w:rsidR="00EA5D17">
        <w:rPr>
          <w:rFonts w:ascii="Arial" w:hAnsi="Arial" w:cs="Arial"/>
          <w:b/>
          <w:bCs/>
          <w:sz w:val="20"/>
          <w:szCs w:val="20"/>
        </w:rPr>
        <w:t>,34,071</w:t>
      </w:r>
      <w:r w:rsidR="006916EB">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w:t>
      </w:r>
      <w:r w:rsidR="00EA5D17">
        <w:rPr>
          <w:rFonts w:ascii="Arial" w:hAnsi="Arial" w:cs="Arial"/>
          <w:b/>
          <w:bCs/>
          <w:sz w:val="20"/>
          <w:szCs w:val="20"/>
        </w:rPr>
        <w:t>₹ 12</w:t>
      </w:r>
      <w:proofErr w:type="gramStart"/>
      <w:r w:rsidR="00EA5D17">
        <w:rPr>
          <w:rFonts w:ascii="Arial" w:hAnsi="Arial" w:cs="Arial"/>
          <w:b/>
          <w:bCs/>
          <w:sz w:val="20"/>
          <w:szCs w:val="20"/>
        </w:rPr>
        <w:t>,45,428</w:t>
      </w:r>
      <w:r w:rsidR="006916EB">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EA5D17"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EA5D17" w:rsidRDefault="00EA5D17" w:rsidP="00113064">
            <w:pPr>
              <w:rPr>
                <w:rFonts w:ascii="Arial" w:hAnsi="Arial" w:cs="Arial"/>
                <w:b/>
                <w:bCs/>
                <w:sz w:val="20"/>
                <w:szCs w:val="20"/>
              </w:rPr>
            </w:pPr>
            <w:r>
              <w:rPr>
                <w:rFonts w:ascii="Century Gothic" w:hAnsi="Century Gothic"/>
                <w:b/>
                <w:bCs/>
                <w:sz w:val="20"/>
                <w:szCs w:val="20"/>
              </w:rPr>
              <w:t xml:space="preserve"> (in </w:t>
            </w:r>
            <w:r>
              <w:rPr>
                <w:rFonts w:ascii="Arial" w:hAnsi="Arial" w:cs="Arial"/>
                <w:b/>
                <w:bCs/>
                <w:sz w:val="20"/>
                <w:szCs w:val="20"/>
              </w:rPr>
              <w:t>₹ )</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EA5D17" w:rsidRPr="00534FB9" w:rsidTr="002B26EF">
        <w:trPr>
          <w:trHeight w:val="1119"/>
        </w:trPr>
        <w:tc>
          <w:tcPr>
            <w:tcW w:w="469" w:type="dxa"/>
            <w:vAlign w:val="center"/>
          </w:tcPr>
          <w:p w:rsidR="00EA5D17" w:rsidRPr="00534FB9" w:rsidRDefault="00EA5D17"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EA5D17" w:rsidRPr="00534FB9" w:rsidRDefault="00EA5D17" w:rsidP="00072888">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EA5D17" w:rsidRPr="00534FB9" w:rsidRDefault="00EA5D17" w:rsidP="00113064">
            <w:pPr>
              <w:rPr>
                <w:rFonts w:ascii="Century Gothic" w:hAnsi="Century Gothic"/>
                <w:sz w:val="20"/>
                <w:szCs w:val="20"/>
              </w:rPr>
            </w:pPr>
          </w:p>
          <w:p w:rsidR="00EA5D17" w:rsidRPr="00534FB9" w:rsidRDefault="00EA5D17" w:rsidP="00113064">
            <w:pPr>
              <w:rPr>
                <w:rFonts w:ascii="Century Gothic" w:hAnsi="Century Gothic"/>
                <w:sz w:val="20"/>
                <w:szCs w:val="20"/>
              </w:rPr>
            </w:pPr>
          </w:p>
        </w:tc>
        <w:tc>
          <w:tcPr>
            <w:tcW w:w="1610" w:type="dxa"/>
            <w:vAlign w:val="center"/>
          </w:tcPr>
          <w:p w:rsidR="00EA5D17" w:rsidRPr="00534FB9" w:rsidRDefault="00EA5D17" w:rsidP="00113064">
            <w:pPr>
              <w:rPr>
                <w:rFonts w:ascii="Century Gothic" w:hAnsi="Century Gothic"/>
                <w:sz w:val="20"/>
                <w:szCs w:val="20"/>
              </w:rPr>
            </w:pPr>
          </w:p>
        </w:tc>
        <w:tc>
          <w:tcPr>
            <w:tcW w:w="1843" w:type="dxa"/>
            <w:vAlign w:val="center"/>
          </w:tcPr>
          <w:p w:rsidR="00EA5D17" w:rsidRPr="00534FB9" w:rsidRDefault="00EA5D17" w:rsidP="00113064">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EA5D17" w:rsidRPr="00534FB9" w:rsidTr="002B26EF">
        <w:trPr>
          <w:trHeight w:val="1135"/>
        </w:trPr>
        <w:tc>
          <w:tcPr>
            <w:tcW w:w="469" w:type="dxa"/>
            <w:vAlign w:val="center"/>
          </w:tcPr>
          <w:p w:rsidR="00EA5D17" w:rsidRPr="00534FB9" w:rsidRDefault="00EA5D17"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EA5D17" w:rsidRPr="00534FB9" w:rsidRDefault="00EA5D17" w:rsidP="00072888">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EA5D17" w:rsidRPr="00534FB9" w:rsidRDefault="00EA5D17" w:rsidP="001266E0">
            <w:pPr>
              <w:rPr>
                <w:rFonts w:ascii="Century Gothic" w:hAnsi="Century Gothic"/>
                <w:sz w:val="20"/>
                <w:szCs w:val="20"/>
              </w:rPr>
            </w:pPr>
          </w:p>
        </w:tc>
        <w:tc>
          <w:tcPr>
            <w:tcW w:w="1610" w:type="dxa"/>
            <w:vAlign w:val="center"/>
          </w:tcPr>
          <w:p w:rsidR="00EA5D17" w:rsidRPr="00534FB9" w:rsidRDefault="00EA5D17" w:rsidP="001266E0">
            <w:pPr>
              <w:rPr>
                <w:rFonts w:ascii="Century Gothic" w:hAnsi="Century Gothic"/>
                <w:sz w:val="20"/>
                <w:szCs w:val="20"/>
              </w:rPr>
            </w:pPr>
          </w:p>
        </w:tc>
        <w:tc>
          <w:tcPr>
            <w:tcW w:w="1843" w:type="dxa"/>
            <w:vAlign w:val="center"/>
          </w:tcPr>
          <w:p w:rsidR="00EA5D17" w:rsidRPr="00534FB9" w:rsidRDefault="00EA5D17" w:rsidP="001266E0">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EA5D17">
            <w:pPr>
              <w:rPr>
                <w:rFonts w:ascii="Century Gothic" w:hAnsi="Century Gothic"/>
                <w:sz w:val="20"/>
                <w:szCs w:val="20"/>
              </w:rPr>
            </w:pPr>
            <w:r w:rsidRPr="00534FB9">
              <w:rPr>
                <w:rFonts w:ascii="Century Gothic" w:hAnsi="Century Gothic"/>
                <w:sz w:val="20"/>
                <w:szCs w:val="20"/>
              </w:rPr>
              <w:t>202</w:t>
            </w:r>
            <w:r w:rsidR="00EA5D17">
              <w:rPr>
                <w:rFonts w:ascii="Century Gothic" w:hAnsi="Century Gothic"/>
                <w:sz w:val="20"/>
                <w:szCs w:val="20"/>
              </w:rPr>
              <w:t>3</w:t>
            </w:r>
            <w:r w:rsidRPr="00534FB9">
              <w:rPr>
                <w:rFonts w:ascii="Century Gothic" w:hAnsi="Century Gothic"/>
                <w:sz w:val="20"/>
                <w:szCs w:val="20"/>
              </w:rPr>
              <w:t xml:space="preserve"> - 202</w:t>
            </w:r>
            <w:r w:rsidR="00EA5D17">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r w:rsidR="001F7DE0">
        <w:rPr>
          <w:rFonts w:ascii="Century Gothic" w:hAnsi="Century Gothic" w:cs="Arial"/>
          <w:bCs/>
          <w:sz w:val="20"/>
          <w:szCs w:val="20"/>
        </w:rPr>
        <w:t>Baranagar</w:t>
      </w:r>
      <w:r w:rsidR="00DF5406" w:rsidRPr="00534FB9">
        <w:rPr>
          <w:rFonts w:ascii="Century Gothic" w:hAnsi="Century Gothic" w:cs="Arial"/>
          <w:sz w:val="20"/>
          <w:szCs w:val="20"/>
        </w:rPr>
        <w:t xml:space="preserve"> Branch Office</w:t>
      </w:r>
      <w:r w:rsidR="00EA5D17">
        <w:rPr>
          <w:rFonts w:ascii="Century Gothic" w:hAnsi="Century Gothic" w:cs="Arial"/>
          <w:sz w:val="20"/>
          <w:szCs w:val="20"/>
        </w:rPr>
        <w:t>, Kolkata.</w:t>
      </w:r>
      <w:r w:rsidR="0046624D">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1F7DE0">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1F7DE0">
        <w:rPr>
          <w:rFonts w:ascii="Century Gothic" w:hAnsi="Century Gothic" w:cs="Arial"/>
          <w:b/>
          <w:bCs/>
          <w:sz w:val="20"/>
        </w:rPr>
        <w:t>Baranagar</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EA5D17">
        <w:rPr>
          <w:rFonts w:ascii="Century Gothic" w:hAnsi="Century Gothic" w:cs="Arial"/>
          <w:sz w:val="20"/>
          <w:szCs w:val="20"/>
        </w:rPr>
        <w:t>Bank</w:t>
      </w:r>
      <w:r w:rsidRPr="00534FB9">
        <w:rPr>
          <w:rFonts w:ascii="Century Gothic" w:hAnsi="Century Gothic" w:cs="Arial"/>
          <w:sz w:val="20"/>
          <w:szCs w:val="20"/>
        </w:rPr>
        <w:t xml:space="preserve"> during course of </w:t>
      </w:r>
      <w:r w:rsidR="00EA5D17">
        <w:rPr>
          <w:rFonts w:ascii="Century Gothic" w:hAnsi="Century Gothic" w:cs="Arial"/>
          <w:sz w:val="20"/>
          <w:szCs w:val="20"/>
        </w:rPr>
        <w:t>renovation</w:t>
      </w:r>
      <w:r w:rsidRPr="00534FB9">
        <w:rPr>
          <w:rFonts w:ascii="Century Gothic" w:hAnsi="Century Gothic" w:cs="Arial"/>
          <w:sz w:val="20"/>
          <w:szCs w:val="20"/>
        </w:rPr>
        <w:t xml:space="preserve"> </w:t>
      </w:r>
      <w:r w:rsidR="00EA5D17">
        <w:rPr>
          <w:rFonts w:ascii="Century Gothic" w:hAnsi="Century Gothic" w:cs="Arial"/>
          <w:sz w:val="20"/>
          <w:szCs w:val="20"/>
        </w:rPr>
        <w:t>at one point inside the branch.</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30364D" w:rsidRDefault="0030364D"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5356F9">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(North)</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1F7DE0">
        <w:rPr>
          <w:rFonts w:ascii="Century Gothic" w:hAnsi="Century Gothic" w:cs="Arial"/>
          <w:sz w:val="20"/>
          <w:szCs w:val="20"/>
        </w:rPr>
        <w:t>Renovation</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1F7DE0">
        <w:rPr>
          <w:rFonts w:ascii="Century Gothic" w:hAnsi="Century Gothic" w:cs="Arial"/>
          <w:color w:val="FF0000"/>
          <w:sz w:val="20"/>
          <w:szCs w:val="20"/>
        </w:rPr>
        <w:t>Baranagar</w:t>
      </w:r>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(NORTH)</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w:t>
      </w:r>
      <w:r w:rsidRPr="00534FB9">
        <w:rPr>
          <w:rFonts w:ascii="Century Gothic" w:hAnsi="Century Gothic" w:cs="Arial"/>
          <w:color w:val="000000"/>
          <w:sz w:val="20"/>
          <w:szCs w:val="20"/>
        </w:rPr>
        <w:lastRenderedPageBreak/>
        <w:t>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F3455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34875EC5" wp14:editId="484B7811">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72888" w:rsidRDefault="0007288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72888" w:rsidRPr="00534FB9" w:rsidRDefault="0007288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72888" w:rsidRPr="00534FB9" w:rsidRDefault="00072888"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72888" w:rsidRDefault="00072888"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C13FB" w:rsidRDefault="004C13F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4C13FB" w:rsidRPr="00534FB9" w:rsidRDefault="004C13F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4C13FB" w:rsidRPr="00534FB9" w:rsidRDefault="004C13F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4C13FB" w:rsidRDefault="004C13FB"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124A0F7A" wp14:editId="3E4072FE">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72888" w:rsidRDefault="00072888" w:rsidP="00C9590A">
                            <w:pPr>
                              <w:jc w:val="center"/>
                              <w:rPr>
                                <w:rFonts w:ascii="Century Gothic" w:hAnsi="Century Gothic" w:cs="Arial"/>
                                <w:b/>
                                <w:color w:val="000000"/>
                                <w:sz w:val="20"/>
                                <w:szCs w:val="20"/>
                              </w:rPr>
                            </w:pPr>
                          </w:p>
                          <w:p w:rsidR="00072888" w:rsidRPr="00534FB9" w:rsidRDefault="0007288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72888" w:rsidRPr="00534FB9" w:rsidRDefault="0007288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72888" w:rsidRDefault="000728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C13FB" w:rsidRDefault="004C13FB" w:rsidP="00C9590A">
                      <w:pPr>
                        <w:jc w:val="center"/>
                        <w:rPr>
                          <w:rFonts w:ascii="Century Gothic" w:hAnsi="Century Gothic" w:cs="Arial"/>
                          <w:b/>
                          <w:color w:val="000000"/>
                          <w:sz w:val="20"/>
                          <w:szCs w:val="20"/>
                        </w:rPr>
                      </w:pPr>
                    </w:p>
                    <w:p w:rsidR="004C13FB" w:rsidRPr="00534FB9" w:rsidRDefault="004C13F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4C13FB" w:rsidRPr="00534FB9" w:rsidRDefault="004C13F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C13FB" w:rsidRDefault="004C13FB"/>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EB5912" w:rsidRDefault="00EB5912" w:rsidP="000C75D5">
      <w:pPr>
        <w:jc w:val="center"/>
        <w:rPr>
          <w:rFonts w:ascii="Century Gothic" w:hAnsi="Century Gothic" w:cs="Arial"/>
          <w:b/>
          <w:bCs/>
          <w:sz w:val="20"/>
          <w:szCs w:val="20"/>
          <w:u w:val="single"/>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(North)</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1F7DE0">
        <w:rPr>
          <w:rFonts w:ascii="Century Gothic" w:hAnsi="Century Gothic"/>
          <w:color w:val="FF0000"/>
          <w:kern w:val="1"/>
          <w:sz w:val="20"/>
          <w:szCs w:val="20"/>
        </w:rPr>
        <w:t>Renovation</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r w:rsidR="001F7DE0">
        <w:rPr>
          <w:rFonts w:ascii="Century Gothic" w:hAnsi="Century Gothic"/>
          <w:color w:val="FF0000"/>
          <w:kern w:val="1"/>
          <w:sz w:val="20"/>
          <w:szCs w:val="20"/>
        </w:rPr>
        <w:t>Baranagar</w:t>
      </w:r>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(North)</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lastRenderedPageBreak/>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Bidder(s) accepts that the Monitor has the right to access without restriction to all Project documentation of the Bank including that provided by the Bidder. The Monitor is under </w:t>
      </w:r>
      <w:r w:rsidRPr="00534FB9">
        <w:rPr>
          <w:rFonts w:ascii="Century Gothic" w:hAnsi="Century Gothic"/>
          <w:kern w:val="1"/>
          <w:sz w:val="20"/>
          <w:szCs w:val="20"/>
        </w:rPr>
        <w:lastRenderedPageBreak/>
        <w:t>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EB5912" w:rsidRPr="00534FB9" w:rsidRDefault="000C75D5" w:rsidP="00EB5912">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w:t>
      </w:r>
      <w:r w:rsidR="00EB5912" w:rsidRPr="00534FB9">
        <w:rPr>
          <w:rFonts w:ascii="Century Gothic" w:hAnsi="Century Gothic"/>
          <w:kern w:val="1"/>
          <w:sz w:val="20"/>
          <w:szCs w:val="20"/>
        </w:rPr>
        <w:t xml:space="preserve">Bank.  </w:t>
      </w:r>
    </w:p>
    <w:p w:rsidR="00EB5912" w:rsidRPr="00534FB9" w:rsidRDefault="00EB5912" w:rsidP="00EB5912">
      <w:pPr>
        <w:pStyle w:val="ListParagraph"/>
        <w:widowControl w:val="0"/>
        <w:tabs>
          <w:tab w:val="left" w:pos="1440"/>
        </w:tabs>
        <w:suppressAutoHyphens/>
        <w:autoSpaceDE w:val="0"/>
        <w:ind w:left="1440"/>
        <w:rPr>
          <w:rFonts w:ascii="Century Gothic" w:hAnsi="Century Gothic"/>
          <w:kern w:val="1"/>
          <w:sz w:val="20"/>
          <w:szCs w:val="20"/>
        </w:rPr>
      </w:pPr>
    </w:p>
    <w:p w:rsidR="00EB5912" w:rsidRPr="00534FB9" w:rsidRDefault="00EB5912" w:rsidP="00EB5912">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w:t>
      </w:r>
      <w:r w:rsidRPr="00534FB9">
        <w:rPr>
          <w:rFonts w:ascii="Century Gothic" w:hAnsi="Century Gothic"/>
          <w:kern w:val="1"/>
          <w:sz w:val="20"/>
          <w:szCs w:val="20"/>
        </w:rPr>
        <w:lastRenderedPageBreak/>
        <w:t>against the Bidder or anyone employed by it or acting on its behalf for an offence as defined in Chapter IX of the Indian Penal Code, 1860 or Prevention of Corruption Act, 1988 or any other statute enacted for prevention of corruption.</w:t>
      </w:r>
    </w:p>
    <w:p w:rsidR="00EB5912" w:rsidRPr="00534FB9" w:rsidRDefault="00EB5912" w:rsidP="00EB5912">
      <w:pPr>
        <w:pStyle w:val="ListParagraph"/>
        <w:widowControl w:val="0"/>
        <w:tabs>
          <w:tab w:val="left" w:pos="1440"/>
        </w:tabs>
        <w:suppressAutoHyphens/>
        <w:autoSpaceDE w:val="0"/>
        <w:rPr>
          <w:rFonts w:ascii="Century Gothic" w:hAnsi="Century Gothic"/>
          <w:kern w:val="1"/>
          <w:sz w:val="20"/>
          <w:szCs w:val="20"/>
        </w:rPr>
      </w:pPr>
    </w:p>
    <w:p w:rsidR="00EB5912" w:rsidRPr="00534FB9" w:rsidRDefault="00EB5912" w:rsidP="00EB5912">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EB5912" w:rsidRPr="00534FB9" w:rsidRDefault="00EB5912" w:rsidP="00EB5912">
      <w:pPr>
        <w:pStyle w:val="ListParagraph"/>
        <w:widowControl w:val="0"/>
        <w:tabs>
          <w:tab w:val="left" w:pos="1440"/>
        </w:tabs>
        <w:suppressAutoHyphens/>
        <w:autoSpaceDE w:val="0"/>
        <w:ind w:left="0"/>
        <w:rPr>
          <w:rFonts w:ascii="Century Gothic" w:hAnsi="Century Gothic"/>
          <w:kern w:val="1"/>
          <w:sz w:val="20"/>
          <w:szCs w:val="20"/>
        </w:rPr>
      </w:pPr>
    </w:p>
    <w:p w:rsidR="00EB5912" w:rsidRPr="00534FB9" w:rsidRDefault="00EB5912" w:rsidP="00EB5912">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EB5912" w:rsidRPr="00534FB9" w:rsidRDefault="00EB5912" w:rsidP="00EB5912">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Pr>
          <w:rFonts w:ascii="Century Gothic" w:hAnsi="Century Gothic"/>
          <w:kern w:val="1"/>
          <w:sz w:val="20"/>
          <w:szCs w:val="20"/>
        </w:rPr>
        <w:t>,</w:t>
      </w:r>
      <w:r w:rsidRPr="00534FB9">
        <w:rPr>
          <w:rFonts w:ascii="Century Gothic" w:hAnsi="Century Gothic"/>
          <w:kern w:val="1"/>
          <w:sz w:val="20"/>
          <w:szCs w:val="20"/>
        </w:rPr>
        <w:t xml:space="preserve"> </w:t>
      </w:r>
      <w:r>
        <w:rPr>
          <w:rFonts w:ascii="Century Gothic" w:hAnsi="Century Gothic"/>
          <w:kern w:val="1"/>
          <w:sz w:val="20"/>
          <w:szCs w:val="20"/>
          <w:highlight w:val="yellow"/>
        </w:rPr>
        <w:t>Kolkata</w:t>
      </w:r>
      <w:r>
        <w:rPr>
          <w:rFonts w:ascii="Century Gothic" w:hAnsi="Century Gothic"/>
          <w:kern w:val="1"/>
          <w:sz w:val="20"/>
          <w:szCs w:val="20"/>
        </w:rPr>
        <w:t>.</w:t>
      </w:r>
      <w:r w:rsidRPr="00534FB9">
        <w:rPr>
          <w:rFonts w:ascii="Century Gothic" w:hAnsi="Century Gothic"/>
          <w:kern w:val="1"/>
          <w:sz w:val="20"/>
          <w:szCs w:val="20"/>
        </w:rPr>
        <w:t xml:space="preserve"> </w:t>
      </w:r>
    </w:p>
    <w:p w:rsidR="00EB5912" w:rsidRPr="00534FB9" w:rsidRDefault="00EB5912" w:rsidP="00EB5912">
      <w:pPr>
        <w:pStyle w:val="ListParagraph"/>
        <w:widowControl w:val="0"/>
        <w:tabs>
          <w:tab w:val="left" w:pos="1440"/>
        </w:tabs>
        <w:suppressAutoHyphens/>
        <w:autoSpaceDE w:val="0"/>
        <w:rPr>
          <w:rFonts w:ascii="Century Gothic" w:hAnsi="Century Gothic"/>
          <w:kern w:val="1"/>
          <w:sz w:val="20"/>
          <w:szCs w:val="20"/>
        </w:rPr>
      </w:pPr>
    </w:p>
    <w:p w:rsidR="00EB5912" w:rsidRPr="00534FB9"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EB5912" w:rsidRPr="00534FB9" w:rsidRDefault="00EB5912" w:rsidP="00EB5912">
      <w:pPr>
        <w:pStyle w:val="ListParagraph"/>
        <w:widowControl w:val="0"/>
        <w:tabs>
          <w:tab w:val="left" w:pos="1440"/>
        </w:tabs>
        <w:suppressAutoHyphens/>
        <w:autoSpaceDE w:val="0"/>
        <w:ind w:left="0"/>
        <w:rPr>
          <w:rFonts w:ascii="Century Gothic" w:hAnsi="Century Gothic"/>
          <w:kern w:val="1"/>
          <w:sz w:val="20"/>
          <w:szCs w:val="20"/>
        </w:rPr>
      </w:pPr>
    </w:p>
    <w:p w:rsidR="00EB5912" w:rsidRPr="00534FB9"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EB5912" w:rsidRPr="00534FB9" w:rsidRDefault="00EB5912" w:rsidP="00EB5912">
      <w:pPr>
        <w:pStyle w:val="ListParagraph"/>
        <w:widowControl w:val="0"/>
        <w:tabs>
          <w:tab w:val="left" w:pos="1440"/>
        </w:tabs>
        <w:suppressAutoHyphens/>
        <w:autoSpaceDE w:val="0"/>
        <w:ind w:left="360"/>
        <w:rPr>
          <w:rFonts w:ascii="Century Gothic" w:hAnsi="Century Gothic"/>
          <w:kern w:val="1"/>
          <w:sz w:val="20"/>
          <w:szCs w:val="20"/>
        </w:rPr>
      </w:pPr>
    </w:p>
    <w:p w:rsidR="00EB5912" w:rsidRPr="00534FB9"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EB5912" w:rsidRDefault="00EB5912" w:rsidP="00EB5912">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EB5912" w:rsidRDefault="00EB5912" w:rsidP="00EB5912">
      <w:pPr>
        <w:widowControl w:val="0"/>
        <w:tabs>
          <w:tab w:val="left" w:pos="709"/>
        </w:tabs>
        <w:suppressAutoHyphens/>
        <w:autoSpaceDE w:val="0"/>
        <w:ind w:left="284"/>
        <w:rPr>
          <w:rFonts w:ascii="Century Gothic" w:hAnsi="Century Gothic"/>
          <w:kern w:val="1"/>
          <w:sz w:val="20"/>
          <w:szCs w:val="20"/>
        </w:rPr>
      </w:pPr>
    </w:p>
    <w:p w:rsidR="00EB5912" w:rsidRPr="00534FB9" w:rsidRDefault="00EB5912" w:rsidP="00EB5912">
      <w:pPr>
        <w:tabs>
          <w:tab w:val="left" w:pos="284"/>
        </w:tabs>
        <w:ind w:left="284"/>
        <w:jc w:val="both"/>
        <w:rPr>
          <w:rFonts w:ascii="Century Gothic" w:hAnsi="Century Gothic"/>
          <w:kern w:val="1"/>
          <w:sz w:val="20"/>
          <w:szCs w:val="20"/>
        </w:rPr>
      </w:pP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presence of following witness: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Designation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Designation</w:t>
      </w:r>
      <w:proofErr w:type="spellEnd"/>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EB5912" w:rsidRPr="00534FB9" w:rsidRDefault="00EB5912" w:rsidP="00EB5912">
      <w:pPr>
        <w:tabs>
          <w:tab w:val="left" w:pos="1440"/>
        </w:tabs>
        <w:jc w:val="both"/>
        <w:rPr>
          <w:rFonts w:ascii="Century Gothic" w:hAnsi="Century Gothic"/>
          <w:kern w:val="1"/>
          <w:sz w:val="20"/>
          <w:szCs w:val="20"/>
        </w:rPr>
      </w:pPr>
    </w:p>
    <w:p w:rsidR="00EB5912" w:rsidRPr="00534FB9"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EB5912" w:rsidRDefault="00EB5912" w:rsidP="00EB5912">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EB5912" w:rsidRPr="00EB5912" w:rsidRDefault="00EB5912" w:rsidP="00EB5912">
      <w:pPr>
        <w:widowControl w:val="0"/>
        <w:tabs>
          <w:tab w:val="left" w:pos="709"/>
        </w:tabs>
        <w:suppressAutoHyphens/>
        <w:autoSpaceDE w:val="0"/>
        <w:ind w:left="284"/>
        <w:rPr>
          <w:rFonts w:ascii="Century Gothic" w:hAnsi="Century Gothic"/>
          <w:kern w:val="1"/>
          <w:sz w:val="20"/>
          <w:szCs w:val="20"/>
        </w:rPr>
      </w:pPr>
    </w:p>
    <w:p w:rsidR="00EB5912" w:rsidRDefault="00EB5912" w:rsidP="00EB5912">
      <w:pPr>
        <w:tabs>
          <w:tab w:val="left" w:pos="1440"/>
        </w:tabs>
        <w:jc w:val="both"/>
        <w:rPr>
          <w:rFonts w:ascii="Century Gothic" w:hAnsi="Century Gothic"/>
          <w:kern w:val="1"/>
          <w:sz w:val="20"/>
          <w:szCs w:val="20"/>
        </w:rPr>
      </w:pPr>
    </w:p>
    <w:p w:rsidR="00EB5912" w:rsidRPr="00534FB9" w:rsidRDefault="00EB5912" w:rsidP="00EB5912">
      <w:pPr>
        <w:tabs>
          <w:tab w:val="left" w:pos="1440"/>
        </w:tabs>
        <w:jc w:val="both"/>
        <w:rPr>
          <w:rFonts w:ascii="Century Gothic" w:hAnsi="Century Gothic"/>
          <w:kern w:val="1"/>
          <w:sz w:val="20"/>
          <w:szCs w:val="20"/>
        </w:rPr>
      </w:pPr>
    </w:p>
    <w:tbl>
      <w:tblPr>
        <w:tblpPr w:leftFromText="180" w:rightFromText="180" w:vertAnchor="page" w:horzAnchor="margin" w:tblpY="1186"/>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EB5912" w:rsidRPr="00534FB9" w:rsidTr="00EB5912">
        <w:trPr>
          <w:cantSplit/>
          <w:trHeight w:val="20"/>
        </w:trPr>
        <w:tc>
          <w:tcPr>
            <w:tcW w:w="9785" w:type="dxa"/>
            <w:gridSpan w:val="2"/>
            <w:vAlign w:val="center"/>
          </w:tcPr>
          <w:p w:rsidR="00EB5912" w:rsidRPr="00534FB9" w:rsidRDefault="00EB5912" w:rsidP="00EB591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LIST OF APPROVED MATERIALS: Vendors are advised to use the materials of below mentioned Brand with prior approval of Bank/ Architect only.</w:t>
            </w:r>
          </w:p>
        </w:tc>
      </w:tr>
      <w:tr w:rsidR="00EB5912" w:rsidRPr="00534FB9" w:rsidTr="00EB5912">
        <w:trPr>
          <w:cantSplit/>
          <w:trHeight w:val="20"/>
        </w:trPr>
        <w:tc>
          <w:tcPr>
            <w:tcW w:w="3767" w:type="dxa"/>
            <w:vAlign w:val="center"/>
          </w:tcPr>
          <w:p w:rsidR="00EB5912" w:rsidRPr="00534FB9" w:rsidRDefault="00EB5912" w:rsidP="00EB591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MATERIAL</w:t>
            </w:r>
          </w:p>
        </w:tc>
        <w:tc>
          <w:tcPr>
            <w:tcW w:w="6018" w:type="dxa"/>
            <w:vAlign w:val="center"/>
          </w:tcPr>
          <w:p w:rsidR="00EB5912" w:rsidRPr="00534FB9" w:rsidRDefault="00EB5912" w:rsidP="00EB5912">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EB5912" w:rsidRPr="00534FB9" w:rsidRDefault="00EB5912" w:rsidP="00EB5912">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EB5912" w:rsidRPr="00534FB9" w:rsidRDefault="00EB5912" w:rsidP="00EB5912">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Pr="00534FB9">
              <w:rPr>
                <w:rFonts w:ascii="Century Gothic" w:hAnsi="Century Gothic"/>
                <w:sz w:val="20"/>
                <w:szCs w:val="20"/>
              </w:rPr>
              <w:t xml:space="preserve">    </w:t>
            </w:r>
          </w:p>
        </w:tc>
        <w:tc>
          <w:tcPr>
            <w:tcW w:w="6018" w:type="dxa"/>
            <w:vAlign w:val="center"/>
          </w:tcPr>
          <w:p w:rsidR="00EB5912" w:rsidRPr="00534FB9" w:rsidRDefault="00EB5912" w:rsidP="00EB5912">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EB5912" w:rsidRPr="00534FB9" w:rsidRDefault="00EB5912" w:rsidP="00EB5912">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EB5912" w:rsidRPr="00534FB9" w:rsidRDefault="00EB5912" w:rsidP="00EB5912">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EB5912" w:rsidRPr="00534FB9" w:rsidRDefault="00EB5912" w:rsidP="00EB5912">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EB5912" w:rsidRPr="00534FB9" w:rsidTr="00EB5912">
        <w:trPr>
          <w:cantSplit/>
          <w:trHeight w:val="20"/>
        </w:trPr>
        <w:tc>
          <w:tcPr>
            <w:tcW w:w="3767"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EB5912" w:rsidRPr="00534FB9" w:rsidRDefault="00EB5912" w:rsidP="00EB5912">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p w:rsidR="00CD3C3A" w:rsidRDefault="00EB5912" w:rsidP="00EB5912">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p>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EB5912" w:rsidP="003E5417">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 </w:t>
            </w:r>
            <w:r w:rsidR="00385D8B">
              <w:rPr>
                <w:rFonts w:ascii="Century Gothic" w:hAnsi="Century Gothic"/>
                <w:sz w:val="19"/>
                <w:szCs w:val="19"/>
              </w:rPr>
              <w:t>Hitachi</w:t>
            </w:r>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r w:rsidR="00385D8B">
              <w:rPr>
                <w:rFonts w:ascii="Century Gothic" w:hAnsi="Century Gothic"/>
                <w:sz w:val="19"/>
                <w:szCs w:val="19"/>
              </w:rPr>
              <w:t>Daikin</w:t>
            </w:r>
            <w:r w:rsidR="009D5688">
              <w:rPr>
                <w:rFonts w:ascii="Century Gothic" w:hAnsi="Century Gothic"/>
                <w:sz w:val="19"/>
                <w:szCs w:val="19"/>
              </w:rPr>
              <w:t xml:space="preserve"> </w:t>
            </w:r>
            <w:r w:rsidR="00385D8B">
              <w:rPr>
                <w:rFonts w:ascii="Century Gothic" w:hAnsi="Century Gothic"/>
                <w:sz w:val="19"/>
                <w:szCs w:val="19"/>
              </w:rPr>
              <w:t>/</w:t>
            </w:r>
            <w:proofErr w:type="spellStart"/>
            <w:r w:rsidR="00385D8B">
              <w:rPr>
                <w:rFonts w:ascii="Century Gothic" w:hAnsi="Century Gothic"/>
                <w:sz w:val="19"/>
                <w:szCs w:val="19"/>
              </w:rPr>
              <w:t>OGeneral</w:t>
            </w:r>
            <w:proofErr w:type="spellEnd"/>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30364D" w:rsidRDefault="0030364D" w:rsidP="003B0CB0">
      <w:pPr>
        <w:jc w:val="center"/>
        <w:rPr>
          <w:rFonts w:ascii="Bookman Old Style" w:hAnsi="Bookman Old Style"/>
          <w:b/>
          <w:bCs/>
        </w:rPr>
      </w:pPr>
    </w:p>
    <w:p w:rsidR="005356F9" w:rsidRDefault="005356F9"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5356F9" w:rsidRDefault="005356F9"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356F9" w:rsidRDefault="005356F9" w:rsidP="00CD3C3A">
      <w:pPr>
        <w:tabs>
          <w:tab w:val="left" w:pos="4050"/>
        </w:tabs>
        <w:jc w:val="center"/>
        <w:rPr>
          <w:rFonts w:ascii="Century Gothic" w:hAnsi="Century Gothic"/>
          <w:kern w:val="1"/>
          <w:sz w:val="20"/>
          <w:szCs w:val="20"/>
        </w:rPr>
      </w:pPr>
    </w:p>
    <w:p w:rsidR="005356F9" w:rsidRDefault="005356F9"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EB5912" w:rsidRPr="00EB5912" w:rsidRDefault="00EB5912" w:rsidP="00CD3C3A">
      <w:pPr>
        <w:tabs>
          <w:tab w:val="left" w:pos="4050"/>
        </w:tabs>
        <w:jc w:val="center"/>
        <w:rPr>
          <w:rFonts w:ascii="Century Gothic" w:hAnsi="Century Gothic"/>
          <w:b/>
          <w:bCs/>
          <w:kern w:val="1"/>
          <w:sz w:val="28"/>
          <w:szCs w:val="28"/>
        </w:rPr>
      </w:pPr>
      <w:r w:rsidRPr="00EB5912">
        <w:rPr>
          <w:rFonts w:ascii="Century Gothic" w:hAnsi="Century Gothic"/>
          <w:b/>
          <w:bCs/>
          <w:kern w:val="1"/>
          <w:sz w:val="28"/>
          <w:szCs w:val="28"/>
        </w:rPr>
        <w:lastRenderedPageBreak/>
        <w:t>FURNITURE LAYOUT</w:t>
      </w:r>
    </w:p>
    <w:p w:rsidR="00EE51FC" w:rsidRPr="00EE51FC" w:rsidRDefault="00EB5912" w:rsidP="00316028">
      <w:pPr>
        <w:tabs>
          <w:tab w:val="left" w:pos="4050"/>
        </w:tabs>
        <w:jc w:val="center"/>
        <w:rPr>
          <w:rFonts w:ascii="Century Gothic" w:hAnsi="Century Gothic"/>
          <w:b/>
          <w:bCs/>
          <w:kern w:val="1"/>
          <w:sz w:val="20"/>
          <w:szCs w:val="20"/>
        </w:rPr>
      </w:pPr>
      <w:r w:rsidRPr="00EB5912">
        <w:rPr>
          <w:rFonts w:ascii="Century Gothic" w:hAnsi="Century Gothic"/>
          <w:b/>
          <w:bCs/>
          <w:noProof/>
          <w:kern w:val="1"/>
          <w:sz w:val="20"/>
          <w:szCs w:val="20"/>
          <w:lang w:val="en-IN" w:eastAsia="en-IN" w:bidi="hi-IN"/>
        </w:rPr>
        <w:drawing>
          <wp:inline distT="0" distB="0" distL="0" distR="0" wp14:anchorId="317B56E8" wp14:editId="6BE4DA60">
            <wp:extent cx="8520352" cy="3787734"/>
            <wp:effectExtent l="4128"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rot="5400000">
                      <a:off x="0" y="0"/>
                      <a:ext cx="8535160" cy="3794317"/>
                    </a:xfrm>
                    <a:prstGeom prst="rect">
                      <a:avLst/>
                    </a:prstGeom>
                  </pic:spPr>
                </pic:pic>
              </a:graphicData>
            </a:graphic>
          </wp:inline>
        </w:drawing>
      </w:r>
    </w:p>
    <w:p w:rsidR="00EE51FC" w:rsidRDefault="00EE51FC" w:rsidP="00CD3C3A">
      <w:pPr>
        <w:tabs>
          <w:tab w:val="left" w:pos="4050"/>
        </w:tabs>
        <w:jc w:val="center"/>
        <w:rPr>
          <w:rFonts w:ascii="Century Gothic" w:hAnsi="Century Gothic"/>
          <w:kern w:val="1"/>
          <w:sz w:val="20"/>
          <w:szCs w:val="20"/>
        </w:rPr>
      </w:pPr>
    </w:p>
    <w:p w:rsidR="005343EF" w:rsidRDefault="005343EF"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drawing>
          <wp:inline distT="0" distB="0" distL="0" distR="0" wp14:anchorId="40485C19" wp14:editId="3301FFC1">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(NORTH)</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1F7DE0" w:rsidP="00CD3C3A">
      <w:pPr>
        <w:jc w:val="center"/>
        <w:rPr>
          <w:rFonts w:ascii="Century Gothic" w:hAnsi="Century Gothic"/>
          <w:b/>
          <w:sz w:val="32"/>
          <w:szCs w:val="32"/>
        </w:rPr>
      </w:pPr>
      <w:r>
        <w:rPr>
          <w:rFonts w:ascii="Century Gothic" w:hAnsi="Century Gothic" w:cs="Arial"/>
          <w:bCs/>
          <w:color w:val="FF0000"/>
        </w:rPr>
        <w:t>Baranagar</w:t>
      </w:r>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(North)</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5C9" w:rsidRDefault="00CB15C9" w:rsidP="00A87789">
      <w:pPr>
        <w:spacing w:after="0" w:line="240" w:lineRule="auto"/>
      </w:pPr>
      <w:r>
        <w:separator/>
      </w:r>
    </w:p>
  </w:endnote>
  <w:endnote w:type="continuationSeparator" w:id="0">
    <w:p w:rsidR="00CB15C9" w:rsidRDefault="00CB15C9"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888" w:rsidRPr="004E68C7" w:rsidRDefault="00072888"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Renovation work of Baranagar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5356F9" w:rsidRPr="005356F9">
      <w:rPr>
        <w:rFonts w:ascii="Cambria" w:eastAsia="Times New Roman" w:hAnsi="Cambria"/>
        <w:noProof/>
      </w:rPr>
      <w:t>8</w:t>
    </w:r>
    <w:r w:rsidRPr="004E68C7">
      <w:rPr>
        <w:rFonts w:ascii="Cambria" w:eastAsia="Times New Roman" w:hAnsi="Cambria"/>
        <w:noProof/>
      </w:rPr>
      <w:fldChar w:fldCharType="end"/>
    </w:r>
  </w:p>
  <w:p w:rsidR="00072888" w:rsidRDefault="000728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5C9" w:rsidRDefault="00CB15C9" w:rsidP="00A87789">
      <w:pPr>
        <w:spacing w:after="0" w:line="240" w:lineRule="auto"/>
      </w:pPr>
      <w:r>
        <w:separator/>
      </w:r>
    </w:p>
  </w:footnote>
  <w:footnote w:type="continuationSeparator" w:id="0">
    <w:p w:rsidR="00CB15C9" w:rsidRDefault="00CB15C9"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2888"/>
    <w:rsid w:val="000730AE"/>
    <w:rsid w:val="00073B74"/>
    <w:rsid w:val="00074CEF"/>
    <w:rsid w:val="00075050"/>
    <w:rsid w:val="000758F3"/>
    <w:rsid w:val="00077371"/>
    <w:rsid w:val="000776C0"/>
    <w:rsid w:val="00077B75"/>
    <w:rsid w:val="00081937"/>
    <w:rsid w:val="00083454"/>
    <w:rsid w:val="00083577"/>
    <w:rsid w:val="00084EE3"/>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D17"/>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FA5"/>
    <w:rsid w:val="00123209"/>
    <w:rsid w:val="0012474F"/>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4843"/>
    <w:rsid w:val="001F51ED"/>
    <w:rsid w:val="001F529A"/>
    <w:rsid w:val="001F7DE0"/>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341"/>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4D"/>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B9B"/>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5417"/>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ACA"/>
    <w:rsid w:val="00444D70"/>
    <w:rsid w:val="00444E03"/>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295E"/>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13FB"/>
    <w:rsid w:val="004C2236"/>
    <w:rsid w:val="004C2E06"/>
    <w:rsid w:val="004C4191"/>
    <w:rsid w:val="004C44CC"/>
    <w:rsid w:val="004C50F2"/>
    <w:rsid w:val="004D05AC"/>
    <w:rsid w:val="004D0AAF"/>
    <w:rsid w:val="004D19C8"/>
    <w:rsid w:val="004D1A10"/>
    <w:rsid w:val="004D1D07"/>
    <w:rsid w:val="004D1E35"/>
    <w:rsid w:val="004D5E67"/>
    <w:rsid w:val="004D6DD0"/>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0A9"/>
    <w:rsid w:val="005051E2"/>
    <w:rsid w:val="00506BC4"/>
    <w:rsid w:val="00510A75"/>
    <w:rsid w:val="00511316"/>
    <w:rsid w:val="005120E4"/>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3C8C"/>
    <w:rsid w:val="005343EF"/>
    <w:rsid w:val="005346D4"/>
    <w:rsid w:val="00534FB9"/>
    <w:rsid w:val="005356F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67FEA"/>
    <w:rsid w:val="0057020F"/>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79C1"/>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437F"/>
    <w:rsid w:val="005C5BB7"/>
    <w:rsid w:val="005C6DD0"/>
    <w:rsid w:val="005D1710"/>
    <w:rsid w:val="005D276F"/>
    <w:rsid w:val="005D3EFA"/>
    <w:rsid w:val="005D433E"/>
    <w:rsid w:val="005D689D"/>
    <w:rsid w:val="005D6A3A"/>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6F0"/>
    <w:rsid w:val="00604861"/>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80093"/>
    <w:rsid w:val="006808C5"/>
    <w:rsid w:val="0068243A"/>
    <w:rsid w:val="006837DB"/>
    <w:rsid w:val="00683FD4"/>
    <w:rsid w:val="00685236"/>
    <w:rsid w:val="006859AF"/>
    <w:rsid w:val="00690B8F"/>
    <w:rsid w:val="00690F73"/>
    <w:rsid w:val="006911AA"/>
    <w:rsid w:val="006914DF"/>
    <w:rsid w:val="006916EB"/>
    <w:rsid w:val="00693CA3"/>
    <w:rsid w:val="00695081"/>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5F23"/>
    <w:rsid w:val="006E70BC"/>
    <w:rsid w:val="006E7635"/>
    <w:rsid w:val="006F19FB"/>
    <w:rsid w:val="006F26A5"/>
    <w:rsid w:val="006F337A"/>
    <w:rsid w:val="006F3C08"/>
    <w:rsid w:val="007012C6"/>
    <w:rsid w:val="00701BAE"/>
    <w:rsid w:val="00702124"/>
    <w:rsid w:val="00704690"/>
    <w:rsid w:val="00704F3A"/>
    <w:rsid w:val="007077F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5B7A"/>
    <w:rsid w:val="008812C5"/>
    <w:rsid w:val="00884546"/>
    <w:rsid w:val="008849FE"/>
    <w:rsid w:val="00885146"/>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0F21"/>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0F4"/>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556"/>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68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2EEF"/>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17F59"/>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15C9"/>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AC"/>
    <w:rsid w:val="00D23CBB"/>
    <w:rsid w:val="00D246A5"/>
    <w:rsid w:val="00D24709"/>
    <w:rsid w:val="00D24F1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A39"/>
    <w:rsid w:val="00D61D66"/>
    <w:rsid w:val="00D649EF"/>
    <w:rsid w:val="00D66AD5"/>
    <w:rsid w:val="00D675D4"/>
    <w:rsid w:val="00D70510"/>
    <w:rsid w:val="00D70C8D"/>
    <w:rsid w:val="00D74EAE"/>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0E86"/>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1B14"/>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5D17"/>
    <w:rsid w:val="00EA667B"/>
    <w:rsid w:val="00EA7592"/>
    <w:rsid w:val="00EB0A15"/>
    <w:rsid w:val="00EB1E37"/>
    <w:rsid w:val="00EB22D1"/>
    <w:rsid w:val="00EB25AF"/>
    <w:rsid w:val="00EB4F3F"/>
    <w:rsid w:val="00EB575F"/>
    <w:rsid w:val="00EB5912"/>
    <w:rsid w:val="00EB6001"/>
    <w:rsid w:val="00EB614B"/>
    <w:rsid w:val="00EC0606"/>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3DB2"/>
    <w:rsid w:val="00EF528A"/>
    <w:rsid w:val="00EF5312"/>
    <w:rsid w:val="00EF6AD8"/>
    <w:rsid w:val="00EF7C02"/>
    <w:rsid w:val="00F01635"/>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55A"/>
    <w:rsid w:val="00F34F13"/>
    <w:rsid w:val="00F35415"/>
    <w:rsid w:val="00F36082"/>
    <w:rsid w:val="00F36184"/>
    <w:rsid w:val="00F36A73"/>
    <w:rsid w:val="00F37483"/>
    <w:rsid w:val="00F37D7D"/>
    <w:rsid w:val="00F40261"/>
    <w:rsid w:val="00F41F54"/>
    <w:rsid w:val="00F4205A"/>
    <w:rsid w:val="00F43241"/>
    <w:rsid w:val="00F434CE"/>
    <w:rsid w:val="00F43E54"/>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C8BC3-B14E-41DE-AC6C-DEEE24F7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34</Pages>
  <Words>10295</Words>
  <Characters>58688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NILESH KUMAR BURNWAL</cp:lastModifiedBy>
  <cp:revision>4</cp:revision>
  <cp:lastPrinted>2023-06-09T07:27:00Z</cp:lastPrinted>
  <dcterms:created xsi:type="dcterms:W3CDTF">2025-02-28T08:01:00Z</dcterms:created>
  <dcterms:modified xsi:type="dcterms:W3CDTF">2025-02-28T10:07:00Z</dcterms:modified>
</cp:coreProperties>
</file>