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B65FF5" w:rsidRPr="00534FB9" w:rsidTr="009B42A8">
        <w:trPr>
          <w:cantSplit/>
          <w:trHeight w:val="20"/>
        </w:trPr>
        <w:tc>
          <w:tcPr>
            <w:tcW w:w="9785" w:type="dxa"/>
            <w:gridSpan w:val="2"/>
            <w:vAlign w:val="center"/>
          </w:tcPr>
          <w:p w:rsidR="00B65FF5" w:rsidRPr="00534FB9" w:rsidRDefault="00B65FF5" w:rsidP="009B42A8">
            <w:pPr>
              <w:spacing w:after="0"/>
              <w:jc w:val="center"/>
              <w:rPr>
                <w:rFonts w:ascii="Century Gothic" w:eastAsia="Times New Roman" w:hAnsi="Century Gothic"/>
                <w:b/>
                <w:bCs/>
                <w:sz w:val="20"/>
                <w:szCs w:val="20"/>
              </w:rPr>
            </w:pPr>
            <w:r w:rsidRPr="00534FB9">
              <w:rPr>
                <w:rFonts w:ascii="Century Gothic" w:eastAsia="Times New Roman" w:hAnsi="Century Gothic"/>
                <w:b/>
                <w:sz w:val="20"/>
                <w:szCs w:val="20"/>
              </w:rPr>
              <w:t xml:space="preserve">LIST OF APPROVED MATERIALS: Vendors are advised to use the materials of below mentioned Brand with prior approval of </w:t>
            </w:r>
            <w:r>
              <w:rPr>
                <w:rFonts w:ascii="Century Gothic" w:eastAsia="Times New Roman" w:hAnsi="Century Gothic"/>
                <w:b/>
                <w:sz w:val="20"/>
                <w:szCs w:val="20"/>
              </w:rPr>
              <w:t>Engineer</w:t>
            </w:r>
            <w:r w:rsidRPr="00534FB9">
              <w:rPr>
                <w:rFonts w:ascii="Century Gothic" w:eastAsia="Times New Roman" w:hAnsi="Century Gothic"/>
                <w:b/>
                <w:sz w:val="20"/>
                <w:szCs w:val="20"/>
              </w:rPr>
              <w:t>/ Architect only.</w:t>
            </w:r>
          </w:p>
        </w:tc>
      </w:tr>
      <w:tr w:rsidR="00B65FF5" w:rsidRPr="00534FB9" w:rsidTr="009B42A8">
        <w:trPr>
          <w:cantSplit/>
          <w:trHeight w:val="20"/>
        </w:trPr>
        <w:tc>
          <w:tcPr>
            <w:tcW w:w="3767" w:type="dxa"/>
            <w:vAlign w:val="center"/>
          </w:tcPr>
          <w:p w:rsidR="00B65FF5" w:rsidRPr="00534FB9" w:rsidRDefault="00B65FF5" w:rsidP="009B42A8">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B65FF5" w:rsidRPr="00534FB9" w:rsidRDefault="00B65FF5" w:rsidP="009B42A8">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Plywood</w:t>
            </w:r>
          </w:p>
        </w:tc>
        <w:tc>
          <w:tcPr>
            <w:tcW w:w="6018" w:type="dxa"/>
            <w:vAlign w:val="center"/>
          </w:tcPr>
          <w:p w:rsidR="00B65FF5" w:rsidRPr="00534FB9" w:rsidRDefault="00B65FF5" w:rsidP="00F54DBD">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710 &amp; IS 1659.</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MDF/ Partition Board</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Novapan</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Archid</w:t>
            </w:r>
            <w:proofErr w:type="spellEnd"/>
            <w:r w:rsidRPr="00534FB9">
              <w:rPr>
                <w:rFonts w:ascii="Century Gothic" w:eastAsia="Times New Roman" w:hAnsi="Century Gothic"/>
                <w:bCs/>
                <w:sz w:val="20"/>
                <w:szCs w:val="20"/>
              </w:rPr>
              <w:t>, Century (Exterior EWP Grade) or equivalent approved by Bank.</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B65FF5" w:rsidRPr="00534FB9" w:rsidRDefault="00B65FF5" w:rsidP="009B42A8">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hAnsi="Century Gothic"/>
                <w:sz w:val="20"/>
                <w:szCs w:val="20"/>
              </w:rPr>
              <w:t>Drawer</w:t>
            </w:r>
            <w:r w:rsidR="00F54DBD">
              <w:rPr>
                <w:rFonts w:ascii="Century Gothic" w:hAnsi="Century Gothic"/>
                <w:sz w:val="20"/>
                <w:szCs w:val="20"/>
              </w:rPr>
              <w:t xml:space="preserve"> sliders </w:t>
            </w:r>
            <w:bookmarkStart w:id="0" w:name="_GoBack"/>
            <w:bookmarkEnd w:id="0"/>
            <w:r w:rsidRPr="00534FB9">
              <w:rPr>
                <w:rFonts w:ascii="Century Gothic" w:hAnsi="Century Gothic"/>
                <w:sz w:val="20"/>
                <w:szCs w:val="20"/>
              </w:rPr>
              <w:t xml:space="preserve">    </w:t>
            </w:r>
          </w:p>
        </w:tc>
        <w:tc>
          <w:tcPr>
            <w:tcW w:w="6018" w:type="dxa"/>
            <w:vAlign w:val="center"/>
          </w:tcPr>
          <w:p w:rsidR="00B65FF5" w:rsidRPr="00534FB9" w:rsidRDefault="00B65FF5" w:rsidP="009B42A8">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p>
        </w:tc>
        <w:tc>
          <w:tcPr>
            <w:tcW w:w="6018" w:type="dxa"/>
            <w:vAlign w:val="center"/>
          </w:tcPr>
          <w:p w:rsidR="00B65FF5" w:rsidRPr="00534FB9" w:rsidRDefault="00B65FF5" w:rsidP="009B42A8">
            <w:pPr>
              <w:spacing w:after="0"/>
              <w:rPr>
                <w:rFonts w:ascii="Century Gothic" w:eastAsia="Times New Roman" w:hAnsi="Century Gothic"/>
                <w:sz w:val="20"/>
                <w:szCs w:val="20"/>
              </w:rPr>
            </w:pP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Calibri"/>
                <w:color w:val="000000"/>
                <w:sz w:val="20"/>
                <w:szCs w:val="20"/>
              </w:rPr>
            </w:pPr>
            <w:r w:rsidRPr="00534FB9">
              <w:rPr>
                <w:rFonts w:ascii="Century Gothic" w:hAnsi="Century Gothic" w:cs="Calibri"/>
                <w:color w:val="000000"/>
                <w:sz w:val="20"/>
                <w:szCs w:val="20"/>
              </w:rPr>
              <w:lastRenderedPageBreak/>
              <w:t>Water Taps, Stop cocks &amp; other fittings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Insulation Wool</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p w:rsidR="00B65FF5" w:rsidRPr="00534FB9" w:rsidRDefault="00B65FF5" w:rsidP="00B65FF5">
      <w:pPr>
        <w:rPr>
          <w:rFonts w:ascii="Century Gothic" w:eastAsia="Times New Roman" w:hAnsi="Century Gothic"/>
          <w:b/>
          <w:u w:val="single"/>
        </w:rPr>
      </w:pPr>
    </w:p>
    <w:p w:rsidR="00B65FF5" w:rsidRPr="00534FB9" w:rsidRDefault="00B65FF5" w:rsidP="00B65FF5">
      <w:pPr>
        <w:rPr>
          <w:rFonts w:ascii="Century Gothic" w:eastAsia="Times New Roman" w:hAnsi="Century Gothic"/>
          <w:b/>
          <w:u w:val="single"/>
        </w:rPr>
      </w:pPr>
      <w:r w:rsidRPr="00534FB9">
        <w:rPr>
          <w:rFonts w:ascii="Century Gothic" w:hAnsi="Century Gothic" w:cs="Arial"/>
          <w:b/>
          <w:u w:val="single"/>
        </w:rPr>
        <w:t>NOTE:</w:t>
      </w:r>
      <w:r w:rsidRPr="00534FB9">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rsidR="00B65FF5" w:rsidRPr="00534FB9" w:rsidRDefault="00B65FF5" w:rsidP="00B65FF5">
      <w:pPr>
        <w:ind w:firstLine="720"/>
        <w:rPr>
          <w:rFonts w:ascii="Century Gothic" w:eastAsia="Times New Roman" w:hAnsi="Century Gothic"/>
          <w:b/>
          <w:u w:val="single"/>
        </w:rPr>
      </w:pPr>
    </w:p>
    <w:p w:rsidR="00B65FF5" w:rsidRPr="00534FB9" w:rsidRDefault="00B65FF5" w:rsidP="00B65FF5">
      <w:pPr>
        <w:ind w:firstLine="720"/>
        <w:rPr>
          <w:rFonts w:ascii="Century Gothic" w:eastAsia="Times New Roman" w:hAnsi="Century Gothic"/>
          <w:u w:val="single"/>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tbl>
      <w:tblPr>
        <w:tblStyle w:val="TableGrid"/>
        <w:tblW w:w="0" w:type="auto"/>
        <w:tblLook w:val="04A0" w:firstRow="1" w:lastRow="0" w:firstColumn="1" w:lastColumn="0" w:noHBand="0" w:noVBand="1"/>
      </w:tblPr>
      <w:tblGrid>
        <w:gridCol w:w="9242"/>
      </w:tblGrid>
      <w:tr w:rsidR="00B65FF5" w:rsidRPr="00534FB9" w:rsidTr="00B65FF5">
        <w:trPr>
          <w:trHeight w:val="490"/>
        </w:trPr>
        <w:tc>
          <w:tcPr>
            <w:tcW w:w="9242" w:type="dxa"/>
          </w:tcPr>
          <w:p w:rsidR="00B65FF5" w:rsidRPr="00534FB9" w:rsidRDefault="00B65FF5" w:rsidP="009B42A8">
            <w:pPr>
              <w:ind w:right="-11"/>
              <w:jc w:val="center"/>
              <w:rPr>
                <w:rFonts w:ascii="Century Gothic" w:eastAsia="Times New Roman" w:hAnsi="Century Gothic"/>
                <w:b/>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B65FF5" w:rsidRPr="00534FB9" w:rsidTr="00B65FF5">
        <w:trPr>
          <w:trHeight w:val="260"/>
        </w:trPr>
        <w:tc>
          <w:tcPr>
            <w:tcW w:w="9242" w:type="dxa"/>
          </w:tcPr>
          <w:p w:rsidR="00B65FF5" w:rsidRPr="00534FB9" w:rsidRDefault="00B65FF5" w:rsidP="009B42A8">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B65FF5" w:rsidRPr="00534FB9" w:rsidRDefault="00B65FF5" w:rsidP="00B65FF5">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7"/>
        <w:gridCol w:w="4135"/>
      </w:tblGrid>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Pr>
                <w:rFonts w:ascii="Century Gothic" w:hAnsi="Century Gothic"/>
                <w:sz w:val="19"/>
                <w:szCs w:val="19"/>
              </w:rPr>
              <w:t>ns</w:t>
            </w:r>
            <w:proofErr w:type="spellEnd"/>
            <w:r>
              <w:rPr>
                <w:rFonts w:ascii="Century Gothic" w:hAnsi="Century Gothic"/>
                <w:sz w:val="19"/>
                <w:szCs w:val="19"/>
              </w:rPr>
              <w:t>/ L&amp; T</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Pr="00534FB9">
              <w:rPr>
                <w:rFonts w:ascii="Century Gothic" w:hAnsi="Century Gothic"/>
                <w:sz w:val="19"/>
                <w:szCs w:val="19"/>
              </w:rPr>
              <w:t xml:space="preserve"> </w:t>
            </w:r>
            <w:proofErr w:type="spellStart"/>
            <w:r w:rsidRPr="00534FB9">
              <w:rPr>
                <w:rFonts w:ascii="Century Gothic" w:hAnsi="Century Gothic"/>
                <w:sz w:val="19"/>
                <w:szCs w:val="19"/>
              </w:rPr>
              <w:t>Legrand</w:t>
            </w:r>
            <w:proofErr w:type="spellEnd"/>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Pr>
                <w:rFonts w:ascii="Century Gothic" w:hAnsi="Century Gothic"/>
                <w:sz w:val="19"/>
                <w:szCs w:val="19"/>
              </w:rPr>
              <w:t>CG</w:t>
            </w:r>
            <w:r w:rsidRPr="00534FB9">
              <w:rPr>
                <w:rFonts w:ascii="Century Gothic" w:hAnsi="Century Gothic"/>
                <w:sz w:val="19"/>
                <w:szCs w:val="19"/>
              </w:rPr>
              <w:t>/ Orient</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Pr="00534FB9">
              <w:rPr>
                <w:rFonts w:ascii="Century Gothic" w:hAnsi="Century Gothic"/>
                <w:sz w:val="19"/>
                <w:szCs w:val="19"/>
              </w:rPr>
              <w:t>/ Crab tree</w:t>
            </w:r>
            <w:r>
              <w:rPr>
                <w:rFonts w:ascii="Century Gothic" w:hAnsi="Century Gothic"/>
                <w:sz w:val="19"/>
                <w:szCs w:val="19"/>
              </w:rPr>
              <w:t xml:space="preserve"> </w:t>
            </w:r>
            <w:proofErr w:type="spellStart"/>
            <w:r>
              <w:rPr>
                <w:rFonts w:ascii="Century Gothic" w:hAnsi="Century Gothic"/>
                <w:sz w:val="19"/>
                <w:szCs w:val="19"/>
              </w:rPr>
              <w:t>athena</w:t>
            </w:r>
            <w:proofErr w:type="spellEnd"/>
            <w:r>
              <w:rPr>
                <w:rFonts w:ascii="Century Gothic" w:hAnsi="Century Gothic"/>
                <w:sz w:val="19"/>
                <w:szCs w:val="19"/>
              </w:rPr>
              <w:t xml:space="preserve"> / Schneider Electric</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Pr>
                <w:rFonts w:ascii="Century Gothic" w:hAnsi="Century Gothic"/>
                <w:sz w:val="19"/>
                <w:szCs w:val="19"/>
              </w:rPr>
              <w:t>Legrand</w:t>
            </w:r>
            <w:proofErr w:type="spellEnd"/>
            <w:r>
              <w:rPr>
                <w:rFonts w:ascii="Century Gothic" w:hAnsi="Century Gothic"/>
                <w:sz w:val="19"/>
                <w:szCs w:val="19"/>
              </w:rPr>
              <w:t>, Siemens</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 Anchor</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Pr>
                <w:rFonts w:ascii="Century Gothic" w:hAnsi="Century Gothic" w:cs="Arial"/>
                <w:color w:val="000000"/>
                <w:sz w:val="19"/>
                <w:szCs w:val="19"/>
              </w:rPr>
              <w:t>Legrand</w:t>
            </w:r>
            <w:proofErr w:type="spellEnd"/>
            <w:r>
              <w:rPr>
                <w:rFonts w:ascii="Century Gothic" w:hAnsi="Century Gothic" w:cs="Arial"/>
                <w:color w:val="000000"/>
                <w:sz w:val="19"/>
                <w:szCs w:val="19"/>
              </w:rPr>
              <w:t>/L&amp;T/Siemens</w:t>
            </w:r>
          </w:p>
        </w:tc>
      </w:tr>
      <w:tr w:rsidR="00B65FF5" w:rsidRPr="00534FB9" w:rsidTr="00B65FF5">
        <w:trPr>
          <w:trHeight w:val="273"/>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5FF5" w:rsidRPr="00534FB9" w:rsidRDefault="00B65FF5" w:rsidP="009B42A8">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B65FF5" w:rsidRPr="00534FB9" w:rsidRDefault="00B65FF5" w:rsidP="009B42A8">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(Five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B65FF5" w:rsidRPr="00534FB9" w:rsidRDefault="00B65FF5" w:rsidP="00B65FF5">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B65FF5" w:rsidRPr="00534FB9" w:rsidRDefault="00B65FF5" w:rsidP="00B65FF5">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B65FF5" w:rsidRPr="00534FB9" w:rsidRDefault="00B65FF5" w:rsidP="00B65FF5">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B65FF5" w:rsidRPr="00534FB9" w:rsidRDefault="00B65FF5" w:rsidP="00B65FF5">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B65FF5" w:rsidRPr="00534FB9" w:rsidRDefault="00B65FF5" w:rsidP="00B65FF5">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B65FF5" w:rsidRPr="00534FB9" w:rsidRDefault="00B65FF5" w:rsidP="00B65FF5">
      <w:pPr>
        <w:spacing w:before="120"/>
        <w:jc w:val="both"/>
        <w:outlineLvl w:val="0"/>
        <w:rPr>
          <w:rFonts w:ascii="Century Gothic" w:hAnsi="Century Gothic" w:cs="Arial"/>
          <w:b/>
          <w:sz w:val="20"/>
          <w:szCs w:val="20"/>
        </w:rPr>
      </w:pPr>
      <w:r w:rsidRPr="00534FB9">
        <w:rPr>
          <w:rFonts w:ascii="Century Gothic" w:hAnsi="Century Gothic" w:cs="Arial"/>
          <w:b/>
          <w:sz w:val="20"/>
          <w:szCs w:val="20"/>
        </w:rPr>
        <w:t>ELECTRICAL INSTALLATION:</w:t>
      </w:r>
    </w:p>
    <w:p w:rsidR="00B65FF5" w:rsidRPr="00534FB9" w:rsidRDefault="00B65FF5" w:rsidP="00B65FF5">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The whole of the Electrical &amp; Data cabling installation shall be carried out by a major registered licensed Electrical Contractor's firm.</w:t>
      </w:r>
    </w:p>
    <w:p w:rsidR="00B65FF5" w:rsidRPr="00534FB9" w:rsidRDefault="00B65FF5" w:rsidP="00B65FF5">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534FB9">
        <w:rPr>
          <w:rFonts w:ascii="Century Gothic" w:hAnsi="Century Gothic" w:cs="Arial"/>
          <w:b/>
          <w:sz w:val="20"/>
          <w:szCs w:val="20"/>
        </w:rPr>
        <w:t>Architect</w:t>
      </w:r>
      <w:r w:rsidRPr="00534FB9">
        <w:rPr>
          <w:rFonts w:ascii="Century Gothic" w:hAnsi="Century Gothic" w:cs="Arial"/>
          <w:sz w:val="20"/>
          <w:szCs w:val="20"/>
        </w:rPr>
        <w:t xml:space="preserve"> / </w:t>
      </w:r>
      <w:r>
        <w:rPr>
          <w:rFonts w:ascii="Century Gothic" w:hAnsi="Century Gothic" w:cs="Arial"/>
          <w:sz w:val="20"/>
          <w:szCs w:val="20"/>
        </w:rPr>
        <w:t>Engineer</w:t>
      </w:r>
      <w:r w:rsidRPr="00534FB9">
        <w:rPr>
          <w:rFonts w:ascii="Century Gothic" w:hAnsi="Century Gothic" w:cs="Arial"/>
          <w:sz w:val="20"/>
          <w:szCs w:val="20"/>
        </w:rPr>
        <w:t>.</w:t>
      </w:r>
    </w:p>
    <w:p w:rsidR="00B65FF5" w:rsidRPr="00B65FF5" w:rsidRDefault="00B65FF5" w:rsidP="00B65FF5">
      <w:pPr>
        <w:spacing w:before="120"/>
        <w:jc w:val="both"/>
        <w:rPr>
          <w:rFonts w:ascii="Century Gothic" w:eastAsia="Times New Roman" w:hAnsi="Century Gothic"/>
          <w:b/>
          <w:u w:val="single"/>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Pr>
          <w:rFonts w:ascii="Century Gothic" w:eastAsia="Times New Roman" w:hAnsi="Century Gothic"/>
          <w:b/>
          <w:u w:val="single"/>
        </w:rPr>
        <w:t xml:space="preserve"> </w:t>
      </w:r>
    </w:p>
    <w:sectPr w:rsidR="00B65FF5" w:rsidRPr="00B65FF5" w:rsidSect="00B65FF5">
      <w:pgSz w:w="11906" w:h="16838" w:code="9"/>
      <w:pgMar w:top="1134"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457"/>
    <w:rsid w:val="00725A66"/>
    <w:rsid w:val="007B5E4D"/>
    <w:rsid w:val="00AA4F62"/>
    <w:rsid w:val="00AA6457"/>
    <w:rsid w:val="00B65FF5"/>
    <w:rsid w:val="00CF59EA"/>
    <w:rsid w:val="00F521A3"/>
    <w:rsid w:val="00F54DB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FF5"/>
    <w:rPr>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B65FF5"/>
    <w:pPr>
      <w:spacing w:after="0" w:line="240" w:lineRule="auto"/>
      <w:ind w:left="720"/>
      <w:contextualSpacing/>
      <w:jc w:val="both"/>
    </w:pPr>
    <w:rPr>
      <w:rFonts w:ascii="Times New Roman" w:hAnsi="Times New Roman" w:cs="Times New Roman"/>
      <w:sz w:val="24"/>
      <w:szCs w:val="24"/>
    </w:rPr>
  </w:style>
  <w:style w:type="table" w:styleId="TableGrid">
    <w:name w:val="Table Grid"/>
    <w:basedOn w:val="TableNormal"/>
    <w:uiPriority w:val="59"/>
    <w:rsid w:val="00B65FF5"/>
    <w:pPr>
      <w:spacing w:after="0" w:line="240" w:lineRule="auto"/>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Figure_name Char"/>
    <w:link w:val="ListParagraph"/>
    <w:uiPriority w:val="34"/>
    <w:locked/>
    <w:rsid w:val="00B65FF5"/>
    <w:rPr>
      <w:rFonts w:ascii="Times New Roman" w:hAnsi="Times New Roman" w:cs="Times New Roman"/>
      <w:sz w:val="24"/>
      <w:szCs w:val="24"/>
      <w:lang w:val="en-US" w:bidi="ar-SA"/>
    </w:rPr>
  </w:style>
  <w:style w:type="paragraph" w:styleId="Header">
    <w:name w:val="header"/>
    <w:basedOn w:val="Normal"/>
    <w:link w:val="HeaderChar"/>
    <w:uiPriority w:val="99"/>
    <w:unhideWhenUsed/>
    <w:rsid w:val="00B65FF5"/>
    <w:pPr>
      <w:tabs>
        <w:tab w:val="center" w:pos="4513"/>
        <w:tab w:val="right" w:pos="9026"/>
      </w:tabs>
      <w:spacing w:after="0" w:line="240" w:lineRule="auto"/>
    </w:pPr>
    <w:rPr>
      <w:rFonts w:cs="Mangal"/>
      <w:szCs w:val="20"/>
      <w:lang w:val="en-IN" w:bidi="hi-IN"/>
    </w:rPr>
  </w:style>
  <w:style w:type="character" w:customStyle="1" w:styleId="HeaderChar">
    <w:name w:val="Header Char"/>
    <w:basedOn w:val="DefaultParagraphFont"/>
    <w:link w:val="Header"/>
    <w:uiPriority w:val="99"/>
    <w:rsid w:val="00B65FF5"/>
    <w:rPr>
      <w:rFonts w:cs="Mangal"/>
    </w:rPr>
  </w:style>
  <w:style w:type="paragraph" w:styleId="Footer">
    <w:name w:val="footer"/>
    <w:basedOn w:val="Normal"/>
    <w:link w:val="FooterChar"/>
    <w:uiPriority w:val="99"/>
    <w:unhideWhenUsed/>
    <w:rsid w:val="00B65FF5"/>
    <w:pPr>
      <w:tabs>
        <w:tab w:val="center" w:pos="4513"/>
        <w:tab w:val="right" w:pos="9026"/>
      </w:tabs>
      <w:spacing w:after="0" w:line="240" w:lineRule="auto"/>
    </w:pPr>
    <w:rPr>
      <w:rFonts w:cs="Mangal"/>
      <w:szCs w:val="20"/>
      <w:lang w:val="en-IN" w:bidi="hi-IN"/>
    </w:rPr>
  </w:style>
  <w:style w:type="character" w:customStyle="1" w:styleId="FooterChar">
    <w:name w:val="Footer Char"/>
    <w:basedOn w:val="DefaultParagraphFont"/>
    <w:link w:val="Footer"/>
    <w:uiPriority w:val="99"/>
    <w:rsid w:val="00B65FF5"/>
    <w:rPr>
      <w:rFonts w:cs="Mangal"/>
    </w:rPr>
  </w:style>
  <w:style w:type="paragraph" w:styleId="BodyText">
    <w:name w:val="Body Text"/>
    <w:basedOn w:val="Normal"/>
    <w:link w:val="BodyTextChar"/>
    <w:rsid w:val="00B65FF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B65FF5"/>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FF5"/>
    <w:rPr>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B65FF5"/>
    <w:pPr>
      <w:spacing w:after="0" w:line="240" w:lineRule="auto"/>
      <w:ind w:left="720"/>
      <w:contextualSpacing/>
      <w:jc w:val="both"/>
    </w:pPr>
    <w:rPr>
      <w:rFonts w:ascii="Times New Roman" w:hAnsi="Times New Roman" w:cs="Times New Roman"/>
      <w:sz w:val="24"/>
      <w:szCs w:val="24"/>
    </w:rPr>
  </w:style>
  <w:style w:type="table" w:styleId="TableGrid">
    <w:name w:val="Table Grid"/>
    <w:basedOn w:val="TableNormal"/>
    <w:uiPriority w:val="59"/>
    <w:rsid w:val="00B65FF5"/>
    <w:pPr>
      <w:spacing w:after="0" w:line="240" w:lineRule="auto"/>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Figure_name Char"/>
    <w:link w:val="ListParagraph"/>
    <w:uiPriority w:val="34"/>
    <w:locked/>
    <w:rsid w:val="00B65FF5"/>
    <w:rPr>
      <w:rFonts w:ascii="Times New Roman" w:hAnsi="Times New Roman" w:cs="Times New Roman"/>
      <w:sz w:val="24"/>
      <w:szCs w:val="24"/>
      <w:lang w:val="en-US" w:bidi="ar-SA"/>
    </w:rPr>
  </w:style>
  <w:style w:type="paragraph" w:styleId="Header">
    <w:name w:val="header"/>
    <w:basedOn w:val="Normal"/>
    <w:link w:val="HeaderChar"/>
    <w:uiPriority w:val="99"/>
    <w:unhideWhenUsed/>
    <w:rsid w:val="00B65FF5"/>
    <w:pPr>
      <w:tabs>
        <w:tab w:val="center" w:pos="4513"/>
        <w:tab w:val="right" w:pos="9026"/>
      </w:tabs>
      <w:spacing w:after="0" w:line="240" w:lineRule="auto"/>
    </w:pPr>
    <w:rPr>
      <w:rFonts w:cs="Mangal"/>
      <w:szCs w:val="20"/>
      <w:lang w:val="en-IN" w:bidi="hi-IN"/>
    </w:rPr>
  </w:style>
  <w:style w:type="character" w:customStyle="1" w:styleId="HeaderChar">
    <w:name w:val="Header Char"/>
    <w:basedOn w:val="DefaultParagraphFont"/>
    <w:link w:val="Header"/>
    <w:uiPriority w:val="99"/>
    <w:rsid w:val="00B65FF5"/>
    <w:rPr>
      <w:rFonts w:cs="Mangal"/>
    </w:rPr>
  </w:style>
  <w:style w:type="paragraph" w:styleId="Footer">
    <w:name w:val="footer"/>
    <w:basedOn w:val="Normal"/>
    <w:link w:val="FooterChar"/>
    <w:uiPriority w:val="99"/>
    <w:unhideWhenUsed/>
    <w:rsid w:val="00B65FF5"/>
    <w:pPr>
      <w:tabs>
        <w:tab w:val="center" w:pos="4513"/>
        <w:tab w:val="right" w:pos="9026"/>
      </w:tabs>
      <w:spacing w:after="0" w:line="240" w:lineRule="auto"/>
    </w:pPr>
    <w:rPr>
      <w:rFonts w:cs="Mangal"/>
      <w:szCs w:val="20"/>
      <w:lang w:val="en-IN" w:bidi="hi-IN"/>
    </w:rPr>
  </w:style>
  <w:style w:type="character" w:customStyle="1" w:styleId="FooterChar">
    <w:name w:val="Footer Char"/>
    <w:basedOn w:val="DefaultParagraphFont"/>
    <w:link w:val="Footer"/>
    <w:uiPriority w:val="99"/>
    <w:rsid w:val="00B65FF5"/>
    <w:rPr>
      <w:rFonts w:cs="Mangal"/>
    </w:rPr>
  </w:style>
  <w:style w:type="paragraph" w:styleId="BodyText">
    <w:name w:val="Body Text"/>
    <w:basedOn w:val="Normal"/>
    <w:link w:val="BodyTextChar"/>
    <w:rsid w:val="00B65FF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B65FF5"/>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954</Words>
  <Characters>5442</Characters>
  <Application>Microsoft Office Word</Application>
  <DocSecurity>0</DocSecurity>
  <Lines>45</Lines>
  <Paragraphs>12</Paragraphs>
  <ScaleCrop>false</ScaleCrop>
  <Company/>
  <LinksUpToDate>false</LinksUpToDate>
  <CharactersWithSpaces>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4</cp:revision>
  <dcterms:created xsi:type="dcterms:W3CDTF">2023-06-28T08:10:00Z</dcterms:created>
  <dcterms:modified xsi:type="dcterms:W3CDTF">2024-08-08T08:42:00Z</dcterms:modified>
</cp:coreProperties>
</file>