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7534" w:rsidRDefault="00FA7534" w:rsidP="00FA7534">
      <w:pPr>
        <w:pStyle w:val="Default"/>
        <w:spacing w:line="276" w:lineRule="auto"/>
        <w:jc w:val="center"/>
        <w:rPr>
          <w:rFonts w:ascii="Arial" w:hAnsi="Arial" w:cs="Arial"/>
          <w:b/>
          <w:sz w:val="20"/>
          <w:szCs w:val="20"/>
        </w:rPr>
      </w:pPr>
      <w:r>
        <w:rPr>
          <w:rFonts w:ascii="Arial" w:hAnsi="Arial" w:cs="Arial"/>
          <w:b/>
          <w:sz w:val="20"/>
          <w:szCs w:val="20"/>
        </w:rPr>
        <w:t>Detailed Notice Inviting Tenders NIT No: CO/BSD/Elect-UPS and batteries/2023-24/</w:t>
      </w:r>
      <w:r w:rsidR="00945E2A">
        <w:rPr>
          <w:rFonts w:ascii="Arial" w:hAnsi="Arial" w:cs="Arial"/>
          <w:b/>
          <w:sz w:val="20"/>
          <w:szCs w:val="20"/>
        </w:rPr>
        <w:t>024</w:t>
      </w:r>
      <w:r>
        <w:rPr>
          <w:rFonts w:ascii="Arial" w:hAnsi="Arial" w:cs="Arial"/>
          <w:b/>
          <w:sz w:val="20"/>
          <w:szCs w:val="20"/>
          <w:highlight w:val="yellow"/>
        </w:rPr>
        <w:t xml:space="preserve">: </w:t>
      </w:r>
      <w:r>
        <w:rPr>
          <w:rFonts w:ascii="Arial" w:hAnsi="Arial" w:cs="Arial"/>
          <w:b/>
          <w:sz w:val="20"/>
          <w:szCs w:val="20"/>
        </w:rPr>
        <w:t>0</w:t>
      </w:r>
      <w:r w:rsidR="00945E2A">
        <w:rPr>
          <w:rFonts w:ascii="Arial" w:hAnsi="Arial" w:cs="Arial"/>
          <w:b/>
          <w:sz w:val="20"/>
          <w:szCs w:val="20"/>
        </w:rPr>
        <w:t>5</w:t>
      </w:r>
      <w:r>
        <w:rPr>
          <w:rFonts w:ascii="Arial" w:hAnsi="Arial" w:cs="Arial"/>
          <w:b/>
          <w:sz w:val="20"/>
          <w:szCs w:val="20"/>
        </w:rPr>
        <w:t>.01.24</w:t>
      </w:r>
    </w:p>
    <w:p w:rsidR="00FA7534" w:rsidRDefault="00FA7534" w:rsidP="00FA7534">
      <w:pPr>
        <w:pStyle w:val="Default"/>
        <w:spacing w:line="276" w:lineRule="auto"/>
        <w:jc w:val="center"/>
        <w:rPr>
          <w:rFonts w:ascii="Arial" w:hAnsi="Arial" w:cs="Arial"/>
          <w:sz w:val="20"/>
          <w:szCs w:val="20"/>
        </w:rPr>
      </w:pPr>
    </w:p>
    <w:p w:rsidR="00FA7534" w:rsidRDefault="00FA7534" w:rsidP="00FA7534">
      <w:pPr>
        <w:pStyle w:val="Default"/>
        <w:spacing w:line="276" w:lineRule="auto"/>
        <w:jc w:val="both"/>
        <w:rPr>
          <w:rFonts w:ascii="Arial" w:hAnsi="Arial" w:cs="Arial"/>
          <w:sz w:val="20"/>
          <w:szCs w:val="20"/>
        </w:rPr>
      </w:pPr>
      <w:r>
        <w:rPr>
          <w:rFonts w:ascii="Arial" w:hAnsi="Arial" w:cs="Arial"/>
          <w:sz w:val="20"/>
          <w:szCs w:val="20"/>
        </w:rPr>
        <w:t>Central Bank of India, a body corporate constituted in India under the Banking Companies (</w:t>
      </w:r>
      <w:proofErr w:type="spellStart"/>
      <w:r>
        <w:rPr>
          <w:rFonts w:ascii="Arial" w:hAnsi="Arial" w:cs="Arial"/>
          <w:sz w:val="20"/>
          <w:szCs w:val="20"/>
        </w:rPr>
        <w:t>Aquisition</w:t>
      </w:r>
      <w:proofErr w:type="spellEnd"/>
      <w:r>
        <w:rPr>
          <w:rFonts w:ascii="Arial" w:hAnsi="Arial" w:cs="Arial"/>
          <w:sz w:val="20"/>
          <w:szCs w:val="20"/>
        </w:rPr>
        <w:t xml:space="preserve"> and Transfer of Undertaking) Act 1970 having its Head Office at </w:t>
      </w:r>
      <w:proofErr w:type="spellStart"/>
      <w:r>
        <w:rPr>
          <w:rFonts w:ascii="Arial" w:hAnsi="Arial" w:cs="Arial"/>
          <w:sz w:val="20"/>
          <w:szCs w:val="20"/>
        </w:rPr>
        <w:t>Chander</w:t>
      </w:r>
      <w:proofErr w:type="spellEnd"/>
      <w:r>
        <w:rPr>
          <w:rFonts w:ascii="Arial" w:hAnsi="Arial" w:cs="Arial"/>
          <w:sz w:val="20"/>
          <w:szCs w:val="20"/>
        </w:rPr>
        <w:t xml:space="preserve"> </w:t>
      </w:r>
      <w:proofErr w:type="spellStart"/>
      <w:r>
        <w:rPr>
          <w:rFonts w:ascii="Arial" w:hAnsi="Arial" w:cs="Arial"/>
          <w:sz w:val="20"/>
          <w:szCs w:val="20"/>
        </w:rPr>
        <w:t>Mukhi</w:t>
      </w:r>
      <w:proofErr w:type="spellEnd"/>
      <w:r>
        <w:rPr>
          <w:rFonts w:ascii="Arial" w:hAnsi="Arial" w:cs="Arial"/>
          <w:sz w:val="20"/>
          <w:szCs w:val="20"/>
        </w:rPr>
        <w:t xml:space="preserve">, </w:t>
      </w:r>
      <w:proofErr w:type="spellStart"/>
      <w:r>
        <w:rPr>
          <w:rFonts w:ascii="Arial" w:hAnsi="Arial" w:cs="Arial"/>
          <w:sz w:val="20"/>
          <w:szCs w:val="20"/>
        </w:rPr>
        <w:t>Nariman</w:t>
      </w:r>
      <w:proofErr w:type="spellEnd"/>
      <w:r>
        <w:rPr>
          <w:rFonts w:ascii="Arial" w:hAnsi="Arial" w:cs="Arial"/>
          <w:sz w:val="20"/>
          <w:szCs w:val="20"/>
        </w:rPr>
        <w:t xml:space="preserve"> Point, Mumbai - 400021 hereinafter called "Bank" invites Online tenders from eligible bidders for the goods/services as briefly outlined below. For complete description of the requirement, please refer to the tender document.</w:t>
      </w:r>
    </w:p>
    <w:p w:rsidR="00FA7534" w:rsidRDefault="00FA7534" w:rsidP="00FA7534">
      <w:pPr>
        <w:pStyle w:val="Default"/>
        <w:spacing w:line="276" w:lineRule="auto"/>
        <w:jc w:val="both"/>
        <w:rPr>
          <w:rFonts w:ascii="Arial" w:hAnsi="Arial" w:cs="Arial"/>
          <w:sz w:val="20"/>
          <w:szCs w:val="20"/>
        </w:rPr>
      </w:pPr>
    </w:p>
    <w:tbl>
      <w:tblPr>
        <w:tblStyle w:val="TableGrid"/>
        <w:tblW w:w="4900" w:type="pct"/>
        <w:tblLook w:val="04A0" w:firstRow="1" w:lastRow="0" w:firstColumn="1" w:lastColumn="0" w:noHBand="0" w:noVBand="1"/>
      </w:tblPr>
      <w:tblGrid>
        <w:gridCol w:w="1314"/>
        <w:gridCol w:w="2815"/>
        <w:gridCol w:w="1234"/>
        <w:gridCol w:w="1054"/>
        <w:gridCol w:w="1321"/>
        <w:gridCol w:w="1319"/>
      </w:tblGrid>
      <w:tr w:rsidR="00FA7534" w:rsidTr="00FA7534">
        <w:tc>
          <w:tcPr>
            <w:tcW w:w="726" w:type="pct"/>
            <w:tcBorders>
              <w:top w:val="single" w:sz="4" w:space="0" w:color="auto"/>
              <w:left w:val="single" w:sz="4" w:space="0" w:color="auto"/>
              <w:bottom w:val="single" w:sz="4" w:space="0" w:color="auto"/>
              <w:right w:val="single" w:sz="4" w:space="0" w:color="auto"/>
            </w:tcBorders>
            <w:hideMark/>
          </w:tcPr>
          <w:p w:rsidR="00FA7534" w:rsidRDefault="00FA7534">
            <w:pPr>
              <w:pStyle w:val="Default"/>
              <w:spacing w:line="276" w:lineRule="auto"/>
              <w:jc w:val="both"/>
              <w:rPr>
                <w:rFonts w:ascii="Arial" w:hAnsi="Arial" w:cs="Arial"/>
                <w:sz w:val="20"/>
                <w:szCs w:val="20"/>
              </w:rPr>
            </w:pPr>
            <w:proofErr w:type="spellStart"/>
            <w:r>
              <w:rPr>
                <w:rFonts w:ascii="Arial" w:hAnsi="Arial" w:cs="Arial"/>
                <w:sz w:val="20"/>
                <w:szCs w:val="20"/>
              </w:rPr>
              <w:t>Pkg</w:t>
            </w:r>
            <w:proofErr w:type="spellEnd"/>
            <w:r>
              <w:rPr>
                <w:rFonts w:ascii="Arial" w:hAnsi="Arial" w:cs="Arial"/>
                <w:sz w:val="20"/>
                <w:szCs w:val="20"/>
              </w:rPr>
              <w:t xml:space="preserve"> No.</w:t>
            </w:r>
          </w:p>
        </w:tc>
        <w:tc>
          <w:tcPr>
            <w:tcW w:w="1554" w:type="pct"/>
            <w:tcBorders>
              <w:top w:val="single" w:sz="4" w:space="0" w:color="auto"/>
              <w:left w:val="single" w:sz="4" w:space="0" w:color="auto"/>
              <w:bottom w:val="single" w:sz="4" w:space="0" w:color="auto"/>
              <w:right w:val="single" w:sz="4" w:space="0" w:color="auto"/>
            </w:tcBorders>
            <w:hideMark/>
          </w:tcPr>
          <w:p w:rsidR="00FA7534" w:rsidRDefault="00FA7534">
            <w:pPr>
              <w:pStyle w:val="Default"/>
              <w:spacing w:line="276" w:lineRule="auto"/>
              <w:jc w:val="both"/>
              <w:rPr>
                <w:rFonts w:ascii="Arial" w:hAnsi="Arial" w:cs="Arial"/>
                <w:sz w:val="20"/>
                <w:szCs w:val="20"/>
              </w:rPr>
            </w:pPr>
            <w:r>
              <w:rPr>
                <w:rFonts w:ascii="Arial" w:hAnsi="Arial" w:cs="Arial"/>
                <w:sz w:val="20"/>
                <w:szCs w:val="20"/>
              </w:rPr>
              <w:t>Description</w:t>
            </w:r>
          </w:p>
        </w:tc>
        <w:tc>
          <w:tcPr>
            <w:tcW w:w="681" w:type="pct"/>
            <w:tcBorders>
              <w:top w:val="single" w:sz="4" w:space="0" w:color="auto"/>
              <w:left w:val="single" w:sz="4" w:space="0" w:color="auto"/>
              <w:bottom w:val="single" w:sz="4" w:space="0" w:color="auto"/>
              <w:right w:val="single" w:sz="4" w:space="0" w:color="auto"/>
            </w:tcBorders>
            <w:hideMark/>
          </w:tcPr>
          <w:p w:rsidR="00FA7534" w:rsidRDefault="00FA7534">
            <w:pPr>
              <w:pStyle w:val="Default"/>
              <w:spacing w:line="276" w:lineRule="auto"/>
              <w:jc w:val="both"/>
              <w:rPr>
                <w:rFonts w:ascii="Arial" w:hAnsi="Arial" w:cs="Arial"/>
                <w:sz w:val="20"/>
                <w:szCs w:val="20"/>
              </w:rPr>
            </w:pPr>
            <w:r>
              <w:rPr>
                <w:rFonts w:ascii="Arial" w:hAnsi="Arial" w:cs="Arial"/>
                <w:sz w:val="20"/>
                <w:szCs w:val="20"/>
              </w:rPr>
              <w:t>Delivery/ Completion Period</w:t>
            </w:r>
          </w:p>
        </w:tc>
        <w:tc>
          <w:tcPr>
            <w:tcW w:w="582" w:type="pct"/>
            <w:tcBorders>
              <w:top w:val="single" w:sz="4" w:space="0" w:color="auto"/>
              <w:left w:val="single" w:sz="4" w:space="0" w:color="auto"/>
              <w:bottom w:val="single" w:sz="4" w:space="0" w:color="auto"/>
              <w:right w:val="single" w:sz="4" w:space="0" w:color="auto"/>
            </w:tcBorders>
            <w:hideMark/>
          </w:tcPr>
          <w:p w:rsidR="00FA7534" w:rsidRDefault="00FA7534">
            <w:pPr>
              <w:pStyle w:val="Default"/>
              <w:spacing w:line="276" w:lineRule="auto"/>
              <w:jc w:val="center"/>
              <w:rPr>
                <w:rFonts w:ascii="Arial" w:hAnsi="Arial" w:cs="Arial"/>
                <w:sz w:val="20"/>
                <w:szCs w:val="20"/>
              </w:rPr>
            </w:pPr>
            <w:r>
              <w:rPr>
                <w:rFonts w:ascii="Arial" w:hAnsi="Arial" w:cs="Arial"/>
                <w:sz w:val="20"/>
                <w:szCs w:val="20"/>
              </w:rPr>
              <w:t>EMD</w:t>
            </w:r>
          </w:p>
          <w:p w:rsidR="00FA7534" w:rsidRDefault="00FA7534">
            <w:pPr>
              <w:pStyle w:val="Default"/>
              <w:spacing w:line="276" w:lineRule="auto"/>
              <w:jc w:val="center"/>
              <w:rPr>
                <w:rFonts w:ascii="Arial" w:hAnsi="Arial" w:cs="Arial"/>
                <w:sz w:val="20"/>
                <w:szCs w:val="20"/>
              </w:rPr>
            </w:pPr>
            <w:r>
              <w:rPr>
                <w:rFonts w:ascii="Arial" w:hAnsi="Arial" w:cs="Arial"/>
                <w:sz w:val="20"/>
                <w:szCs w:val="20"/>
              </w:rPr>
              <w:t>(₹)</w:t>
            </w:r>
          </w:p>
        </w:tc>
        <w:tc>
          <w:tcPr>
            <w:tcW w:w="729" w:type="pct"/>
            <w:tcBorders>
              <w:top w:val="single" w:sz="4" w:space="0" w:color="auto"/>
              <w:left w:val="single" w:sz="4" w:space="0" w:color="auto"/>
              <w:bottom w:val="single" w:sz="4" w:space="0" w:color="auto"/>
              <w:right w:val="single" w:sz="4" w:space="0" w:color="auto"/>
            </w:tcBorders>
            <w:hideMark/>
          </w:tcPr>
          <w:p w:rsidR="00FA7534" w:rsidRDefault="00FA7534">
            <w:pPr>
              <w:pStyle w:val="Default"/>
              <w:spacing w:line="276" w:lineRule="auto"/>
              <w:jc w:val="both"/>
              <w:rPr>
                <w:rFonts w:ascii="Arial" w:hAnsi="Arial" w:cs="Arial"/>
                <w:sz w:val="20"/>
                <w:szCs w:val="20"/>
              </w:rPr>
            </w:pPr>
            <w:r>
              <w:rPr>
                <w:rFonts w:ascii="Arial" w:hAnsi="Arial" w:cs="Arial"/>
                <w:sz w:val="20"/>
                <w:szCs w:val="20"/>
              </w:rPr>
              <w:t>Deadline for Tender Submission</w:t>
            </w:r>
          </w:p>
        </w:tc>
        <w:tc>
          <w:tcPr>
            <w:tcW w:w="729" w:type="pct"/>
            <w:tcBorders>
              <w:top w:val="single" w:sz="4" w:space="0" w:color="auto"/>
              <w:left w:val="single" w:sz="4" w:space="0" w:color="auto"/>
              <w:bottom w:val="single" w:sz="4" w:space="0" w:color="auto"/>
              <w:right w:val="single" w:sz="4" w:space="0" w:color="auto"/>
            </w:tcBorders>
            <w:hideMark/>
          </w:tcPr>
          <w:p w:rsidR="00FA7534" w:rsidRDefault="00FA7534">
            <w:pPr>
              <w:pStyle w:val="Default"/>
              <w:spacing w:line="276" w:lineRule="auto"/>
              <w:rPr>
                <w:rFonts w:ascii="Arial" w:hAnsi="Arial" w:cs="Arial"/>
                <w:sz w:val="20"/>
                <w:szCs w:val="20"/>
              </w:rPr>
            </w:pPr>
            <w:r>
              <w:rPr>
                <w:rFonts w:ascii="Arial" w:hAnsi="Arial" w:cs="Arial"/>
                <w:sz w:val="20"/>
                <w:szCs w:val="20"/>
              </w:rPr>
              <w:t xml:space="preserve">Schedule for </w:t>
            </w:r>
          </w:p>
          <w:p w:rsidR="00FA7534" w:rsidRDefault="00FA7534">
            <w:pPr>
              <w:pStyle w:val="Default"/>
              <w:spacing w:line="276" w:lineRule="auto"/>
              <w:rPr>
                <w:rFonts w:ascii="Arial" w:hAnsi="Arial" w:cs="Arial"/>
                <w:sz w:val="20"/>
                <w:szCs w:val="20"/>
              </w:rPr>
            </w:pPr>
            <w:r>
              <w:rPr>
                <w:rFonts w:ascii="Arial" w:hAnsi="Arial" w:cs="Arial"/>
                <w:sz w:val="20"/>
                <w:szCs w:val="20"/>
              </w:rPr>
              <w:t>Tender Opening</w:t>
            </w:r>
          </w:p>
        </w:tc>
      </w:tr>
      <w:tr w:rsidR="00FA7534" w:rsidTr="00FA7534">
        <w:trPr>
          <w:trHeight w:val="994"/>
        </w:trPr>
        <w:tc>
          <w:tcPr>
            <w:tcW w:w="726" w:type="pct"/>
            <w:tcBorders>
              <w:top w:val="single" w:sz="4" w:space="0" w:color="auto"/>
              <w:left w:val="single" w:sz="4" w:space="0" w:color="auto"/>
              <w:bottom w:val="single" w:sz="4" w:space="0" w:color="auto"/>
              <w:right w:val="single" w:sz="4" w:space="0" w:color="auto"/>
            </w:tcBorders>
            <w:hideMark/>
          </w:tcPr>
          <w:p w:rsidR="00FA7534" w:rsidRDefault="00FA7534">
            <w:pPr>
              <w:pStyle w:val="Default"/>
              <w:spacing w:line="276" w:lineRule="auto"/>
              <w:rPr>
                <w:rFonts w:ascii="Arial" w:hAnsi="Arial" w:cs="Arial"/>
                <w:sz w:val="20"/>
                <w:szCs w:val="20"/>
              </w:rPr>
            </w:pPr>
            <w:r>
              <w:rPr>
                <w:rFonts w:ascii="Arial" w:hAnsi="Arial" w:cs="Arial"/>
                <w:sz w:val="20"/>
                <w:szCs w:val="20"/>
              </w:rPr>
              <w:t>1</w:t>
            </w:r>
          </w:p>
        </w:tc>
        <w:tc>
          <w:tcPr>
            <w:tcW w:w="1554" w:type="pct"/>
            <w:tcBorders>
              <w:top w:val="single" w:sz="4" w:space="0" w:color="auto"/>
              <w:left w:val="single" w:sz="4" w:space="0" w:color="auto"/>
              <w:bottom w:val="single" w:sz="4" w:space="0" w:color="auto"/>
              <w:right w:val="single" w:sz="4" w:space="0" w:color="auto"/>
            </w:tcBorders>
            <w:hideMark/>
          </w:tcPr>
          <w:p w:rsidR="00FA7534" w:rsidRDefault="00FA7534" w:rsidP="00FA7534">
            <w:pPr>
              <w:rPr>
                <w:rFonts w:ascii="Arial" w:hAnsi="Arial" w:cs="Arial"/>
                <w:b/>
                <w:color w:val="000000"/>
                <w:sz w:val="20"/>
                <w:szCs w:val="20"/>
              </w:rPr>
            </w:pPr>
            <w:r>
              <w:rPr>
                <w:rFonts w:ascii="Arial" w:hAnsi="Arial" w:cs="Arial"/>
                <w:b/>
                <w:color w:val="000000"/>
                <w:sz w:val="20"/>
                <w:szCs w:val="20"/>
              </w:rPr>
              <w:t xml:space="preserve">E bids for </w:t>
            </w:r>
            <w:proofErr w:type="gramStart"/>
            <w:r>
              <w:rPr>
                <w:rFonts w:ascii="Arial" w:hAnsi="Arial" w:cs="Arial"/>
                <w:b/>
                <w:color w:val="000000"/>
                <w:sz w:val="20"/>
                <w:szCs w:val="20"/>
              </w:rPr>
              <w:t>supply ,installation</w:t>
            </w:r>
            <w:proofErr w:type="gramEnd"/>
            <w:r>
              <w:rPr>
                <w:rFonts w:ascii="Arial" w:hAnsi="Arial" w:cs="Arial"/>
                <w:b/>
                <w:color w:val="000000"/>
                <w:sz w:val="20"/>
                <w:szCs w:val="20"/>
              </w:rPr>
              <w:t xml:space="preserve"> ,testing and commissioning(SITC) of UPS &amp; Batteries for Bank.</w:t>
            </w:r>
          </w:p>
        </w:tc>
        <w:tc>
          <w:tcPr>
            <w:tcW w:w="681" w:type="pct"/>
            <w:tcBorders>
              <w:top w:val="single" w:sz="4" w:space="0" w:color="auto"/>
              <w:left w:val="single" w:sz="4" w:space="0" w:color="auto"/>
              <w:bottom w:val="single" w:sz="4" w:space="0" w:color="auto"/>
              <w:right w:val="single" w:sz="4" w:space="0" w:color="auto"/>
            </w:tcBorders>
            <w:hideMark/>
          </w:tcPr>
          <w:p w:rsidR="00FA7534" w:rsidRDefault="00FA7534">
            <w:pPr>
              <w:pStyle w:val="Default"/>
              <w:spacing w:line="276" w:lineRule="auto"/>
              <w:rPr>
                <w:rFonts w:ascii="Arial" w:hAnsi="Arial" w:cs="Arial"/>
                <w:sz w:val="20"/>
                <w:szCs w:val="20"/>
              </w:rPr>
            </w:pPr>
            <w:r>
              <w:rPr>
                <w:rFonts w:ascii="Arial" w:hAnsi="Arial" w:cs="Arial"/>
                <w:sz w:val="20"/>
                <w:szCs w:val="20"/>
              </w:rPr>
              <w:t>As per tender</w:t>
            </w:r>
          </w:p>
        </w:tc>
        <w:tc>
          <w:tcPr>
            <w:tcW w:w="582" w:type="pct"/>
            <w:tcBorders>
              <w:top w:val="single" w:sz="4" w:space="0" w:color="auto"/>
              <w:left w:val="single" w:sz="4" w:space="0" w:color="auto"/>
              <w:bottom w:val="single" w:sz="4" w:space="0" w:color="auto"/>
              <w:right w:val="single" w:sz="4" w:space="0" w:color="auto"/>
            </w:tcBorders>
            <w:hideMark/>
          </w:tcPr>
          <w:p w:rsidR="00FA7534" w:rsidRDefault="00FA7534">
            <w:pPr>
              <w:pStyle w:val="Default"/>
              <w:spacing w:line="276" w:lineRule="auto"/>
              <w:jc w:val="both"/>
              <w:rPr>
                <w:rFonts w:ascii="Arial" w:hAnsi="Arial" w:cs="Arial"/>
                <w:sz w:val="20"/>
                <w:szCs w:val="20"/>
              </w:rPr>
            </w:pPr>
            <w:r>
              <w:rPr>
                <w:rFonts w:ascii="Arial" w:hAnsi="Arial" w:cs="Arial"/>
                <w:sz w:val="20"/>
                <w:szCs w:val="20"/>
              </w:rPr>
              <w:t>nil</w:t>
            </w:r>
          </w:p>
        </w:tc>
        <w:tc>
          <w:tcPr>
            <w:tcW w:w="729" w:type="pct"/>
            <w:tcBorders>
              <w:top w:val="single" w:sz="4" w:space="0" w:color="auto"/>
              <w:left w:val="single" w:sz="4" w:space="0" w:color="auto"/>
              <w:bottom w:val="single" w:sz="4" w:space="0" w:color="auto"/>
              <w:right w:val="single" w:sz="4" w:space="0" w:color="auto"/>
            </w:tcBorders>
          </w:tcPr>
          <w:p w:rsidR="00FA7534" w:rsidRDefault="00FA7534">
            <w:pPr>
              <w:pStyle w:val="Default"/>
              <w:spacing w:line="276" w:lineRule="auto"/>
              <w:jc w:val="both"/>
              <w:rPr>
                <w:rFonts w:ascii="Arial" w:hAnsi="Arial" w:cs="Arial"/>
                <w:sz w:val="20"/>
                <w:szCs w:val="20"/>
              </w:rPr>
            </w:pPr>
            <w:r>
              <w:rPr>
                <w:rFonts w:ascii="Arial" w:hAnsi="Arial" w:cs="Arial"/>
                <w:sz w:val="20"/>
                <w:szCs w:val="20"/>
              </w:rPr>
              <w:t>24.01.24</w:t>
            </w:r>
          </w:p>
        </w:tc>
        <w:tc>
          <w:tcPr>
            <w:tcW w:w="729" w:type="pct"/>
            <w:tcBorders>
              <w:top w:val="single" w:sz="4" w:space="0" w:color="auto"/>
              <w:left w:val="single" w:sz="4" w:space="0" w:color="auto"/>
              <w:bottom w:val="single" w:sz="4" w:space="0" w:color="auto"/>
              <w:right w:val="single" w:sz="4" w:space="0" w:color="auto"/>
            </w:tcBorders>
            <w:hideMark/>
          </w:tcPr>
          <w:p w:rsidR="00FA7534" w:rsidRDefault="00FA7534">
            <w:pPr>
              <w:pStyle w:val="Default"/>
              <w:spacing w:line="276" w:lineRule="auto"/>
              <w:rPr>
                <w:rFonts w:ascii="Arial" w:hAnsi="Arial" w:cs="Arial"/>
                <w:sz w:val="20"/>
                <w:szCs w:val="20"/>
              </w:rPr>
            </w:pPr>
            <w:r>
              <w:rPr>
                <w:rFonts w:ascii="Arial" w:hAnsi="Arial" w:cs="Arial"/>
                <w:sz w:val="20"/>
                <w:szCs w:val="20"/>
              </w:rPr>
              <w:t>As per tender</w:t>
            </w:r>
          </w:p>
        </w:tc>
      </w:tr>
    </w:tbl>
    <w:p w:rsidR="00FA7534" w:rsidRDefault="00FA7534" w:rsidP="00FA7534">
      <w:pPr>
        <w:pStyle w:val="Default"/>
        <w:spacing w:line="276" w:lineRule="auto"/>
        <w:jc w:val="both"/>
        <w:rPr>
          <w:rFonts w:ascii="Arial" w:hAnsi="Arial" w:cs="Arial"/>
          <w:sz w:val="20"/>
          <w:szCs w:val="20"/>
        </w:rPr>
      </w:pPr>
    </w:p>
    <w:p w:rsidR="00FA7534" w:rsidRDefault="00FA7534" w:rsidP="00FA7534">
      <w:pPr>
        <w:pStyle w:val="Default"/>
        <w:spacing w:line="276" w:lineRule="auto"/>
        <w:jc w:val="both"/>
        <w:rPr>
          <w:rFonts w:ascii="Arial" w:hAnsi="Arial" w:cs="Arial"/>
          <w:sz w:val="20"/>
          <w:szCs w:val="20"/>
        </w:rPr>
      </w:pPr>
      <w:r>
        <w:rPr>
          <w:rFonts w:ascii="Arial" w:hAnsi="Arial" w:cs="Arial"/>
          <w:sz w:val="20"/>
          <w:szCs w:val="20"/>
        </w:rPr>
        <w:t xml:space="preserve">Tendering shall be conducted in accordance with Open Tender procedures of the Bank. Prospective bidders must take note of the qualification requirements as specified in the tender documents. Bids must be accompanied by Earnest Money Deposit (EMD) in an acceptable form and amount as specified in the tender document. EMD should be submitted in a separate cover. </w:t>
      </w:r>
    </w:p>
    <w:p w:rsidR="00FA7534" w:rsidRDefault="00FA7534" w:rsidP="00FA7534">
      <w:pPr>
        <w:pStyle w:val="Default"/>
        <w:spacing w:line="276" w:lineRule="auto"/>
        <w:jc w:val="both"/>
        <w:rPr>
          <w:rFonts w:ascii="Arial" w:hAnsi="Arial" w:cs="Arial"/>
          <w:sz w:val="20"/>
          <w:szCs w:val="20"/>
        </w:rPr>
      </w:pPr>
      <w:r>
        <w:rPr>
          <w:rFonts w:ascii="Arial" w:hAnsi="Arial" w:cs="Arial"/>
          <w:sz w:val="20"/>
          <w:szCs w:val="20"/>
        </w:rPr>
        <w:t xml:space="preserve">A complete set of tender documents may be purchased by interested prospective bidders from address specified below upon payment of a non-refundable fee </w:t>
      </w:r>
      <w:r>
        <w:rPr>
          <w:rFonts w:ascii="Arial" w:hAnsi="Arial" w:cs="Arial"/>
          <w:sz w:val="20"/>
          <w:szCs w:val="20"/>
          <w:highlight w:val="yellow"/>
        </w:rPr>
        <w:t>of ₹</w:t>
      </w:r>
      <w:proofErr w:type="gramStart"/>
      <w:r>
        <w:rPr>
          <w:rFonts w:ascii="Arial" w:hAnsi="Arial" w:cs="Arial"/>
          <w:sz w:val="20"/>
          <w:szCs w:val="20"/>
          <w:highlight w:val="yellow"/>
        </w:rPr>
        <w:t>5000(</w:t>
      </w:r>
      <w:proofErr w:type="gramEnd"/>
      <w:r>
        <w:rPr>
          <w:rFonts w:ascii="Arial" w:hAnsi="Arial" w:cs="Arial"/>
          <w:sz w:val="20"/>
          <w:szCs w:val="20"/>
          <w:highlight w:val="yellow"/>
        </w:rPr>
        <w:t>Rupees5000</w:t>
      </w:r>
      <w:r>
        <w:rPr>
          <w:rFonts w:ascii="Arial" w:hAnsi="Arial" w:cs="Arial"/>
          <w:sz w:val="20"/>
          <w:szCs w:val="20"/>
        </w:rPr>
        <w:t xml:space="preserve">) by Demand Draft/Banker’s </w:t>
      </w:r>
      <w:proofErr w:type="spellStart"/>
      <w:r>
        <w:rPr>
          <w:rFonts w:ascii="Arial" w:hAnsi="Arial" w:cs="Arial"/>
          <w:i/>
          <w:sz w:val="20"/>
          <w:szCs w:val="20"/>
        </w:rPr>
        <w:t>Cheque</w:t>
      </w:r>
      <w:proofErr w:type="spellEnd"/>
      <w:r>
        <w:rPr>
          <w:rFonts w:ascii="Arial" w:hAnsi="Arial" w:cs="Arial"/>
          <w:sz w:val="20"/>
          <w:szCs w:val="20"/>
        </w:rPr>
        <w:t xml:space="preserve"> in </w:t>
      </w:r>
      <w:proofErr w:type="spellStart"/>
      <w:r>
        <w:rPr>
          <w:rFonts w:ascii="Arial" w:hAnsi="Arial" w:cs="Arial"/>
          <w:sz w:val="20"/>
          <w:szCs w:val="20"/>
        </w:rPr>
        <w:t>favour</w:t>
      </w:r>
      <w:proofErr w:type="spellEnd"/>
      <w:r>
        <w:rPr>
          <w:rFonts w:ascii="Arial" w:hAnsi="Arial" w:cs="Arial"/>
          <w:sz w:val="20"/>
          <w:szCs w:val="20"/>
        </w:rPr>
        <w:t xml:space="preserve"> of Central Bank of India payable at Mumbai. Alternatively, the same can be deposited to the account number </w:t>
      </w:r>
      <w:r>
        <w:rPr>
          <w:rFonts w:ascii="Arial" w:hAnsi="Arial" w:cs="Arial"/>
          <w:sz w:val="20"/>
          <w:szCs w:val="20"/>
          <w:highlight w:val="yellow"/>
        </w:rPr>
        <w:t>XXXXXXXXXX IFSCXXXXXXX</w:t>
      </w:r>
      <w:r>
        <w:rPr>
          <w:rFonts w:ascii="Arial" w:hAnsi="Arial" w:cs="Arial"/>
          <w:sz w:val="20"/>
          <w:szCs w:val="20"/>
        </w:rPr>
        <w:t xml:space="preserve">. Tender document can also be downloaded from the website www.centralbankofindia.co.in. Any tender not accompanied with the EMD or the specified fee shall be rejected. </w:t>
      </w:r>
    </w:p>
    <w:p w:rsidR="00FA7534" w:rsidRDefault="00FA7534" w:rsidP="00FA7534">
      <w:pPr>
        <w:pStyle w:val="Default"/>
        <w:spacing w:line="276" w:lineRule="auto"/>
        <w:jc w:val="both"/>
        <w:rPr>
          <w:rFonts w:ascii="Arial" w:hAnsi="Arial" w:cs="Arial"/>
          <w:sz w:val="20"/>
          <w:szCs w:val="20"/>
        </w:rPr>
      </w:pPr>
    </w:p>
    <w:p w:rsidR="00FA7534" w:rsidRDefault="00FA7534" w:rsidP="00FA7534">
      <w:pPr>
        <w:pStyle w:val="Default"/>
        <w:spacing w:line="276" w:lineRule="auto"/>
        <w:jc w:val="both"/>
        <w:rPr>
          <w:rFonts w:ascii="Arial" w:hAnsi="Arial" w:cs="Arial"/>
          <w:sz w:val="20"/>
          <w:szCs w:val="20"/>
        </w:rPr>
      </w:pPr>
      <w:r>
        <w:rPr>
          <w:rFonts w:ascii="Arial" w:hAnsi="Arial" w:cs="Arial"/>
          <w:sz w:val="20"/>
          <w:szCs w:val="20"/>
        </w:rPr>
        <w:t xml:space="preserve">Tender offers will be opened </w:t>
      </w:r>
      <w:proofErr w:type="gramStart"/>
      <w:r>
        <w:rPr>
          <w:rFonts w:ascii="Arial" w:hAnsi="Arial" w:cs="Arial"/>
          <w:sz w:val="20"/>
          <w:szCs w:val="20"/>
        </w:rPr>
        <w:t>Online</w:t>
      </w:r>
      <w:proofErr w:type="gramEnd"/>
      <w:r>
        <w:rPr>
          <w:rFonts w:ascii="Arial" w:hAnsi="Arial" w:cs="Arial"/>
          <w:sz w:val="20"/>
          <w:szCs w:val="20"/>
        </w:rPr>
        <w:t xml:space="preserve"> as per the schedule mentioned above. Technical specifications, Terms and conditions, and various formats for submitting the tender offer are described in the tender document. </w:t>
      </w:r>
    </w:p>
    <w:p w:rsidR="00FA7534" w:rsidRDefault="00FA7534" w:rsidP="00FA7534">
      <w:pPr>
        <w:pStyle w:val="Default"/>
        <w:spacing w:line="276" w:lineRule="auto"/>
        <w:jc w:val="both"/>
        <w:rPr>
          <w:rFonts w:ascii="Arial" w:hAnsi="Arial" w:cs="Arial"/>
          <w:sz w:val="20"/>
          <w:szCs w:val="20"/>
        </w:rPr>
      </w:pPr>
    </w:p>
    <w:p w:rsidR="00FA7534" w:rsidRDefault="00FA7534" w:rsidP="00FA7534">
      <w:pPr>
        <w:pStyle w:val="Default"/>
        <w:spacing w:line="276" w:lineRule="auto"/>
        <w:jc w:val="both"/>
        <w:rPr>
          <w:rFonts w:ascii="Arial" w:hAnsi="Arial" w:cs="Arial"/>
          <w:sz w:val="20"/>
          <w:szCs w:val="20"/>
        </w:rPr>
      </w:pPr>
      <w:r>
        <w:rPr>
          <w:rFonts w:ascii="Arial" w:hAnsi="Arial" w:cs="Arial"/>
          <w:sz w:val="20"/>
          <w:szCs w:val="20"/>
        </w:rPr>
        <w:t>The Bank is not bound to accept any particular tender received in response to this invitation and reserves the right to reject all tenders and cancel the tendering process at any time without any liability to any party whatsoever.</w:t>
      </w:r>
    </w:p>
    <w:p w:rsidR="00FA7534" w:rsidRDefault="00FA7534" w:rsidP="00FA7534">
      <w:pPr>
        <w:pStyle w:val="Default"/>
        <w:spacing w:line="276" w:lineRule="auto"/>
        <w:jc w:val="both"/>
        <w:rPr>
          <w:rFonts w:ascii="Arial" w:hAnsi="Arial" w:cs="Arial"/>
          <w:sz w:val="20"/>
          <w:szCs w:val="20"/>
        </w:rPr>
      </w:pPr>
    </w:p>
    <w:p w:rsidR="00FA7534" w:rsidRDefault="00FA7534" w:rsidP="00FA7534">
      <w:pPr>
        <w:pStyle w:val="Default"/>
        <w:spacing w:line="276" w:lineRule="auto"/>
        <w:jc w:val="both"/>
        <w:rPr>
          <w:rFonts w:ascii="Arial" w:hAnsi="Arial" w:cs="Arial"/>
          <w:sz w:val="20"/>
          <w:szCs w:val="20"/>
        </w:rPr>
      </w:pPr>
    </w:p>
    <w:p w:rsidR="00FA7534" w:rsidRDefault="00FA7534" w:rsidP="00FA7534">
      <w:pPr>
        <w:pStyle w:val="Default"/>
        <w:spacing w:line="276" w:lineRule="auto"/>
        <w:jc w:val="both"/>
        <w:rPr>
          <w:rFonts w:ascii="Arial" w:hAnsi="Arial" w:cs="Arial"/>
          <w:sz w:val="20"/>
          <w:szCs w:val="20"/>
        </w:rPr>
      </w:pPr>
    </w:p>
    <w:p w:rsidR="00FA7534" w:rsidRDefault="00FA7534" w:rsidP="00FA7534">
      <w:pPr>
        <w:pStyle w:val="Default"/>
        <w:spacing w:line="276" w:lineRule="auto"/>
        <w:jc w:val="both"/>
        <w:rPr>
          <w:rFonts w:ascii="Arial" w:hAnsi="Arial" w:cs="Arial"/>
          <w:sz w:val="20"/>
          <w:szCs w:val="20"/>
        </w:rPr>
      </w:pPr>
      <w:r>
        <w:rPr>
          <w:rFonts w:ascii="Arial" w:hAnsi="Arial" w:cs="Arial"/>
          <w:sz w:val="20"/>
          <w:szCs w:val="20"/>
        </w:rPr>
        <w:t>AGM -electrical</w:t>
      </w:r>
    </w:p>
    <w:p w:rsidR="00FA7534" w:rsidRDefault="00FA7534" w:rsidP="00FA7534">
      <w:pPr>
        <w:pStyle w:val="Default"/>
        <w:spacing w:line="276" w:lineRule="auto"/>
        <w:jc w:val="both"/>
        <w:rPr>
          <w:rFonts w:ascii="Arial" w:hAnsi="Arial" w:cs="Arial"/>
          <w:sz w:val="20"/>
          <w:szCs w:val="20"/>
        </w:rPr>
      </w:pPr>
      <w:r>
        <w:rPr>
          <w:rFonts w:ascii="Arial" w:hAnsi="Arial" w:cs="Arial"/>
          <w:sz w:val="20"/>
          <w:szCs w:val="20"/>
        </w:rPr>
        <w:t xml:space="preserve">Central Bank of India, </w:t>
      </w:r>
    </w:p>
    <w:p w:rsidR="00FA7534" w:rsidRDefault="00FA7534" w:rsidP="00FA7534">
      <w:pPr>
        <w:pStyle w:val="Default"/>
        <w:spacing w:line="276" w:lineRule="auto"/>
        <w:jc w:val="both"/>
        <w:rPr>
          <w:rFonts w:ascii="Arial" w:hAnsi="Arial" w:cs="Arial"/>
          <w:sz w:val="20"/>
          <w:szCs w:val="20"/>
        </w:rPr>
      </w:pPr>
      <w:r>
        <w:rPr>
          <w:rFonts w:ascii="Arial" w:hAnsi="Arial" w:cs="Arial"/>
          <w:sz w:val="20"/>
          <w:szCs w:val="20"/>
        </w:rPr>
        <w:t>7045445080</w:t>
      </w:r>
    </w:p>
    <w:p w:rsidR="00FA7534" w:rsidRDefault="00FA7534" w:rsidP="00FA7534"/>
    <w:p w:rsidR="00E45116" w:rsidRDefault="00E45116"/>
    <w:sectPr w:rsidR="00E45116">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19D1" w:rsidRDefault="00FD19D1" w:rsidP="00902BA1">
      <w:pPr>
        <w:spacing w:after="0" w:line="240" w:lineRule="auto"/>
      </w:pPr>
      <w:r>
        <w:separator/>
      </w:r>
    </w:p>
  </w:endnote>
  <w:endnote w:type="continuationSeparator" w:id="0">
    <w:p w:rsidR="00FD19D1" w:rsidRDefault="00FD19D1" w:rsidP="00902B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BA1" w:rsidRDefault="00902BA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BA1" w:rsidRDefault="00902BA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BA1" w:rsidRDefault="00902B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19D1" w:rsidRDefault="00FD19D1" w:rsidP="00902BA1">
      <w:pPr>
        <w:spacing w:after="0" w:line="240" w:lineRule="auto"/>
      </w:pPr>
      <w:r>
        <w:separator/>
      </w:r>
    </w:p>
  </w:footnote>
  <w:footnote w:type="continuationSeparator" w:id="0">
    <w:p w:rsidR="00FD19D1" w:rsidRDefault="00FD19D1" w:rsidP="00902B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BA1" w:rsidRDefault="00902BA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BA1" w:rsidRDefault="00C02967">
    <w:pPr>
      <w:pStyle w:val="Header"/>
    </w:pPr>
    <w:bookmarkStart w:id="0" w:name="_GoBack"/>
    <w:r>
      <w:rPr>
        <w:noProof/>
        <w:lang w:val="en-IN" w:eastAsia="en-IN"/>
      </w:rPr>
      <w:drawing>
        <wp:inline distT="0" distB="0" distL="0" distR="0" wp14:anchorId="4AE24F57" wp14:editId="1AE73459">
          <wp:extent cx="5534025" cy="599440"/>
          <wp:effectExtent l="0" t="0" r="9525" b="0"/>
          <wp:docPr id="4" name="Picture 4" descr="Description: logo.png"/>
          <wp:cNvGraphicFramePr/>
          <a:graphic xmlns:a="http://schemas.openxmlformats.org/drawingml/2006/main">
            <a:graphicData uri="http://schemas.openxmlformats.org/drawingml/2006/picture">
              <pic:pic xmlns:pic="http://schemas.openxmlformats.org/drawingml/2006/picture">
                <pic:nvPicPr>
                  <pic:cNvPr id="4" name="Picture 4" descr="Description: logo.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34025" cy="599440"/>
                  </a:xfrm>
                  <a:prstGeom prst="rect">
                    <a:avLst/>
                  </a:prstGeom>
                  <a:noFill/>
                  <a:ln>
                    <a:noFill/>
                  </a:ln>
                </pic:spPr>
              </pic:pic>
            </a:graphicData>
          </a:graphic>
        </wp:inline>
      </w:drawing>
    </w:r>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BA1" w:rsidRDefault="00902BA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7534"/>
    <w:rsid w:val="004621FE"/>
    <w:rsid w:val="00902BA1"/>
    <w:rsid w:val="00945E2A"/>
    <w:rsid w:val="00AD22FA"/>
    <w:rsid w:val="00C02967"/>
    <w:rsid w:val="00E45116"/>
    <w:rsid w:val="00FA7534"/>
    <w:rsid w:val="00FD19D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534"/>
    <w:pPr>
      <w:spacing w:after="160" w:line="252"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A7534"/>
    <w:pPr>
      <w:autoSpaceDE w:val="0"/>
      <w:autoSpaceDN w:val="0"/>
      <w:adjustRightInd w:val="0"/>
      <w:spacing w:after="0" w:line="240" w:lineRule="auto"/>
    </w:pPr>
    <w:rPr>
      <w:rFonts w:ascii="Calibri" w:hAnsi="Calibri" w:cs="Calibri"/>
      <w:color w:val="000000"/>
      <w:sz w:val="24"/>
      <w:szCs w:val="24"/>
      <w:lang w:val="en-US"/>
    </w:rPr>
  </w:style>
  <w:style w:type="table" w:styleId="TableGrid">
    <w:name w:val="Table Grid"/>
    <w:basedOn w:val="TableNormal"/>
    <w:uiPriority w:val="59"/>
    <w:rsid w:val="00FA7534"/>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02BA1"/>
    <w:pPr>
      <w:tabs>
        <w:tab w:val="center" w:pos="4513"/>
        <w:tab w:val="right" w:pos="9026"/>
      </w:tabs>
      <w:spacing w:after="0" w:line="240" w:lineRule="auto"/>
    </w:pPr>
  </w:style>
  <w:style w:type="character" w:customStyle="1" w:styleId="HeaderChar">
    <w:name w:val="Header Char"/>
    <w:basedOn w:val="DefaultParagraphFont"/>
    <w:link w:val="Header"/>
    <w:uiPriority w:val="99"/>
    <w:rsid w:val="00902BA1"/>
    <w:rPr>
      <w:lang w:val="en-US"/>
    </w:rPr>
  </w:style>
  <w:style w:type="paragraph" w:styleId="Footer">
    <w:name w:val="footer"/>
    <w:basedOn w:val="Normal"/>
    <w:link w:val="FooterChar"/>
    <w:uiPriority w:val="99"/>
    <w:unhideWhenUsed/>
    <w:rsid w:val="00902B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2BA1"/>
    <w:rPr>
      <w:lang w:val="en-US"/>
    </w:rPr>
  </w:style>
  <w:style w:type="paragraph" w:styleId="BalloonText">
    <w:name w:val="Balloon Text"/>
    <w:basedOn w:val="Normal"/>
    <w:link w:val="BalloonTextChar"/>
    <w:uiPriority w:val="99"/>
    <w:semiHidden/>
    <w:unhideWhenUsed/>
    <w:rsid w:val="00C029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2967"/>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534"/>
    <w:pPr>
      <w:spacing w:after="160" w:line="252"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A7534"/>
    <w:pPr>
      <w:autoSpaceDE w:val="0"/>
      <w:autoSpaceDN w:val="0"/>
      <w:adjustRightInd w:val="0"/>
      <w:spacing w:after="0" w:line="240" w:lineRule="auto"/>
    </w:pPr>
    <w:rPr>
      <w:rFonts w:ascii="Calibri" w:hAnsi="Calibri" w:cs="Calibri"/>
      <w:color w:val="000000"/>
      <w:sz w:val="24"/>
      <w:szCs w:val="24"/>
      <w:lang w:val="en-US"/>
    </w:rPr>
  </w:style>
  <w:style w:type="table" w:styleId="TableGrid">
    <w:name w:val="Table Grid"/>
    <w:basedOn w:val="TableNormal"/>
    <w:uiPriority w:val="59"/>
    <w:rsid w:val="00FA7534"/>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02BA1"/>
    <w:pPr>
      <w:tabs>
        <w:tab w:val="center" w:pos="4513"/>
        <w:tab w:val="right" w:pos="9026"/>
      </w:tabs>
      <w:spacing w:after="0" w:line="240" w:lineRule="auto"/>
    </w:pPr>
  </w:style>
  <w:style w:type="character" w:customStyle="1" w:styleId="HeaderChar">
    <w:name w:val="Header Char"/>
    <w:basedOn w:val="DefaultParagraphFont"/>
    <w:link w:val="Header"/>
    <w:uiPriority w:val="99"/>
    <w:rsid w:val="00902BA1"/>
    <w:rPr>
      <w:lang w:val="en-US"/>
    </w:rPr>
  </w:style>
  <w:style w:type="paragraph" w:styleId="Footer">
    <w:name w:val="footer"/>
    <w:basedOn w:val="Normal"/>
    <w:link w:val="FooterChar"/>
    <w:uiPriority w:val="99"/>
    <w:unhideWhenUsed/>
    <w:rsid w:val="00902B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2BA1"/>
    <w:rPr>
      <w:lang w:val="en-US"/>
    </w:rPr>
  </w:style>
  <w:style w:type="paragraph" w:styleId="BalloonText">
    <w:name w:val="Balloon Text"/>
    <w:basedOn w:val="Normal"/>
    <w:link w:val="BalloonTextChar"/>
    <w:uiPriority w:val="99"/>
    <w:semiHidden/>
    <w:unhideWhenUsed/>
    <w:rsid w:val="00C029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2967"/>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197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319</Words>
  <Characters>1824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VIJAY SAXENA</dc:creator>
  <cp:lastModifiedBy>VIJAY SAXENA</cp:lastModifiedBy>
  <cp:revision>7</cp:revision>
  <dcterms:created xsi:type="dcterms:W3CDTF">2024-01-04T09:19:00Z</dcterms:created>
  <dcterms:modified xsi:type="dcterms:W3CDTF">2024-01-05T06:28:00Z</dcterms:modified>
</cp:coreProperties>
</file>