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9C" w:rsidRPr="00781DC2" w:rsidRDefault="00DD009C" w:rsidP="00DB0ED4">
      <w:pPr>
        <w:rPr>
          <w:sz w:val="20"/>
        </w:rPr>
      </w:pPr>
    </w:p>
    <w:p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4DF87984" wp14:editId="505AA999">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rsidR="00DD009C" w:rsidRPr="00583938" w:rsidRDefault="00DD009C" w:rsidP="00DD009C">
      <w:pPr>
        <w:shd w:val="clear" w:color="auto" w:fill="FFFFFF"/>
        <w:spacing w:line="240" w:lineRule="auto"/>
        <w:jc w:val="center"/>
        <w:rPr>
          <w:rFonts w:ascii="Nirmala UI" w:eastAsia="Times New Roman" w:hAnsi="Nirmala UI" w:cs="Nirmala UI"/>
          <w:b/>
          <w:bCs/>
          <w:color w:val="000000"/>
          <w:sz w:val="20"/>
        </w:rPr>
      </w:pPr>
      <w:r w:rsidRPr="00583938">
        <w:rPr>
          <w:rFonts w:ascii="Nirmala UI" w:eastAsia="Times New Roman" w:hAnsi="Nirmala UI" w:cs="Nirmala UI"/>
          <w:b/>
          <w:bCs/>
          <w:color w:val="000000"/>
          <w:sz w:val="20"/>
          <w:cs/>
        </w:rPr>
        <w:t>सेन्‍ट्रल बैंक ऑफ़ इंडिया</w:t>
      </w:r>
      <w:r w:rsidRPr="00583938">
        <w:rPr>
          <w:rFonts w:ascii="Nirmala UI" w:eastAsia="Times New Roman" w:hAnsi="Nirmala UI" w:cs="Nirmala UI"/>
          <w:b/>
          <w:bCs/>
          <w:color w:val="000000"/>
          <w:sz w:val="20"/>
        </w:rPr>
        <w:t xml:space="preserve">, </w:t>
      </w:r>
      <w:r w:rsidRPr="00583938">
        <w:rPr>
          <w:rFonts w:ascii="Nirmala UI" w:eastAsia="Times New Roman" w:hAnsi="Nirmala UI" w:cs="Nirmala UI"/>
          <w:b/>
          <w:bCs/>
          <w:color w:val="000000"/>
          <w:sz w:val="20"/>
          <w:cs/>
        </w:rPr>
        <w:t xml:space="preserve">क्षेत्रीय कार्यालय </w:t>
      </w:r>
      <w:r w:rsidR="005A5DD4" w:rsidRPr="00583938">
        <w:rPr>
          <w:rFonts w:ascii="Nirmala UI" w:eastAsia="Arial Unicode MS" w:hAnsi="Nirmala UI" w:cs="Nirmala UI"/>
          <w:b/>
          <w:bCs/>
          <w:cs/>
        </w:rPr>
        <w:t>रोहतक</w:t>
      </w:r>
    </w:p>
    <w:p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0B4C1F">
        <w:rPr>
          <w:rFonts w:ascii="Bookman Old Style" w:eastAsia="Times New Roman" w:hAnsi="Bookman Old Style" w:cs="Nirmala UI"/>
          <w:b/>
          <w:bCs/>
          <w:color w:val="000000"/>
          <w:sz w:val="20"/>
        </w:rPr>
        <w:t>Chandigarh</w:t>
      </w: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INIVITES Tender for Interior, Furnishing, Electrical &amp; allied works &amp; Data Cabling works in Central Bank of India</w:t>
      </w:r>
      <w:r w:rsidR="002A2B33" w:rsidRPr="00583938">
        <w:rPr>
          <w:rFonts w:ascii="Bookman Old Style" w:eastAsia="Arial" w:hAnsi="Bookman Old Style"/>
          <w:color w:val="000000"/>
          <w:sz w:val="20"/>
        </w:rPr>
        <w:t>,</w:t>
      </w:r>
      <w:r w:rsidRPr="00583938">
        <w:rPr>
          <w:rFonts w:ascii="Bookman Old Style" w:eastAsia="Arial" w:hAnsi="Bookman Old Style"/>
          <w:color w:val="000000"/>
          <w:sz w:val="20"/>
        </w:rPr>
        <w:t xml:space="preserve"> </w:t>
      </w:r>
      <w:r w:rsidR="00204B05">
        <w:rPr>
          <w:rFonts w:ascii="Bookman Old Style" w:eastAsia="Arial Unicode MS" w:hAnsi="Bookman Old Style" w:cs="Arial Unicode MS"/>
          <w:color w:val="000000"/>
          <w:sz w:val="20"/>
        </w:rPr>
        <w:t>New Chandigarh 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Chandigarh</w:t>
      </w:r>
    </w:p>
    <w:p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C01750">
        <w:rPr>
          <w:rFonts w:ascii="Bookman Old Style" w:eastAsia="Arial" w:hAnsi="Bookman Old Style"/>
          <w:b/>
          <w:bCs/>
          <w:color w:val="000000"/>
          <w:sz w:val="20"/>
          <w:u w:val="single"/>
        </w:rPr>
        <w:t>4</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0031EA">
        <w:rPr>
          <w:rFonts w:ascii="Bookman Old Style" w:eastAsia="Arial" w:hAnsi="Bookman Old Style" w:cs="Nirmala UI"/>
          <w:b/>
          <w:bCs/>
          <w:sz w:val="20"/>
          <w:u w:val="single"/>
          <w:lang w:val="en-IN"/>
        </w:rPr>
        <w:t>1</w:t>
      </w:r>
      <w:r w:rsidR="00C01750">
        <w:rPr>
          <w:rFonts w:ascii="Bookman Old Style" w:eastAsia="Arial" w:hAnsi="Bookman Old Style" w:cs="Nirmala UI"/>
          <w:b/>
          <w:bCs/>
          <w:sz w:val="20"/>
          <w:u w:val="single"/>
          <w:lang w:val="en-IN"/>
        </w:rPr>
        <w:t>6</w:t>
      </w:r>
      <w:r w:rsidR="00583938" w:rsidRPr="00583938">
        <w:rPr>
          <w:rFonts w:ascii="Bookman Old Style" w:eastAsia="Arial" w:hAnsi="Bookman Old Style" w:cs="Nirmala UI"/>
          <w:b/>
          <w:bCs/>
          <w:sz w:val="20"/>
          <w:u w:val="single"/>
          <w:lang w:val="en-IN"/>
        </w:rPr>
        <w:t>.12</w:t>
      </w:r>
      <w:r w:rsidRPr="00583938">
        <w:rPr>
          <w:rFonts w:ascii="Bookman Old Style" w:eastAsia="Arial" w:hAnsi="Bookman Old Style" w:cs="Nirmala UI"/>
          <w:b/>
          <w:bCs/>
          <w:sz w:val="20"/>
          <w:u w:val="single"/>
          <w:lang w:val="en-IN"/>
        </w:rPr>
        <w:t>.2023</w:t>
      </w:r>
    </w:p>
    <w:p w:rsidR="00DD009C" w:rsidRPr="00583938"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t xml:space="preserve">: </w:t>
      </w:r>
      <w:r w:rsidR="00C01750">
        <w:rPr>
          <w:rFonts w:ascii="Bookman Old Style" w:eastAsia="Arial" w:hAnsi="Bookman Old Style"/>
          <w:b/>
          <w:bCs/>
          <w:color w:val="000000"/>
          <w:sz w:val="20"/>
          <w:u w:val="single"/>
        </w:rPr>
        <w:t>4</w:t>
      </w:r>
      <w:r w:rsidR="00C01750" w:rsidRPr="00583938">
        <w:rPr>
          <w:rFonts w:ascii="Bookman Old Style" w:eastAsia="Arial" w:hAnsi="Bookman Old Style"/>
          <w:b/>
          <w:bCs/>
          <w:color w:val="000000"/>
          <w:sz w:val="20"/>
          <w:u w:val="single"/>
        </w:rPr>
        <w:t>:</w:t>
      </w:r>
      <w:r w:rsidR="00C01750">
        <w:rPr>
          <w:rFonts w:ascii="Bookman Old Style" w:eastAsia="Arial" w:hAnsi="Bookman Old Style"/>
          <w:b/>
          <w:bCs/>
          <w:color w:val="000000"/>
          <w:sz w:val="20"/>
          <w:u w:val="single"/>
        </w:rPr>
        <w:t>3</w:t>
      </w:r>
      <w:r w:rsidR="00C01750" w:rsidRPr="00583938">
        <w:rPr>
          <w:rFonts w:ascii="Bookman Old Style" w:eastAsia="Arial" w:hAnsi="Bookman Old Style"/>
          <w:b/>
          <w:bCs/>
          <w:color w:val="000000"/>
          <w:sz w:val="20"/>
          <w:u w:val="single"/>
        </w:rPr>
        <w:t>0</w:t>
      </w:r>
      <w:r w:rsidR="00C01750" w:rsidRPr="00583938">
        <w:rPr>
          <w:rFonts w:ascii="Bookman Old Style" w:eastAsia="Arial" w:hAnsi="Bookman Old Style"/>
          <w:b/>
          <w:bCs/>
          <w:sz w:val="20"/>
          <w:u w:val="single"/>
        </w:rPr>
        <w:t xml:space="preserve"> PM </w:t>
      </w:r>
      <w:r w:rsidR="00C01750">
        <w:rPr>
          <w:rFonts w:ascii="Bookman Old Style" w:eastAsia="Arial" w:hAnsi="Bookman Old Style"/>
          <w:sz w:val="20"/>
        </w:rPr>
        <w:t>16</w:t>
      </w:r>
      <w:r w:rsidR="00583938" w:rsidRPr="00583938">
        <w:rPr>
          <w:rFonts w:ascii="Bookman Old Style" w:eastAsia="Arial" w:hAnsi="Bookman Old Style"/>
          <w:sz w:val="20"/>
        </w:rPr>
        <w:t>.12</w:t>
      </w:r>
      <w:r w:rsidR="00734400" w:rsidRPr="00583938">
        <w:rPr>
          <w:rFonts w:ascii="Bookman Old Style" w:eastAsia="Arial" w:hAnsi="Bookman Old Style"/>
          <w:sz w:val="20"/>
        </w:rPr>
        <w:t>.2023</w:t>
      </w:r>
      <w:r w:rsidRPr="00583938">
        <w:rPr>
          <w:rFonts w:ascii="Bookman Old Style" w:eastAsia="Arial" w:hAnsi="Bookman Old Style"/>
          <w:sz w:val="20"/>
        </w:rPr>
        <w:t xml:space="preserve"> or any subsequent date under advice to the tenderers.</w:t>
      </w:r>
    </w:p>
    <w:p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Technical Bid comprising Tender document + Documents conforming to Eligibility Criteria + EMD (DD) + Tender Fees (DD)</w:t>
      </w:r>
    </w:p>
    <w:p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rsidR="00DD009C" w:rsidRPr="00583938" w:rsidRDefault="00DD009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0B4C1F" w:rsidRPr="008A1B16">
          <w:rPr>
            <w:rStyle w:val="Hyperlink"/>
            <w:rFonts w:ascii="Bookman Old Style" w:eastAsia="Arial" w:hAnsi="Bookman Old Style"/>
            <w:b/>
            <w:bCs/>
            <w:sz w:val="20"/>
          </w:rPr>
          <w:t>gadchanro@centralbank.co.in</w:t>
        </w:r>
      </w:hyperlink>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p>
    <w:p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rsidR="00DD009C" w:rsidRPr="00583938" w:rsidRDefault="00DD009C" w:rsidP="00DD009C">
      <w:pPr>
        <w:autoSpaceDE w:val="0"/>
        <w:autoSpaceDN w:val="0"/>
        <w:spacing w:after="0" w:line="275" w:lineRule="auto"/>
        <w:jc w:val="both"/>
        <w:rPr>
          <w:rFonts w:ascii="Bookman Old Style" w:eastAsia="Arial" w:hAnsi="Bookman Old Style"/>
          <w:color w:val="000000"/>
          <w:sz w:val="20"/>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T N </w:t>
      </w:r>
      <w:proofErr w:type="spellStart"/>
      <w:r w:rsidRPr="00583938">
        <w:rPr>
          <w:rFonts w:ascii="Bookman Old Style" w:eastAsia="Arial" w:hAnsi="Bookman Old Style"/>
          <w:b/>
          <w:bCs/>
          <w:color w:val="000000"/>
          <w:sz w:val="20"/>
        </w:rPr>
        <w:t>Trivedi</w:t>
      </w:r>
      <w:proofErr w:type="spellEnd"/>
      <w:r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583938">
          <w:rPr>
            <w:rStyle w:val="Hyperlink"/>
            <w:rFonts w:ascii="Bookman Old Style" w:eastAsia="Arial" w:hAnsi="Bookman Old Style"/>
            <w:b/>
            <w:bCs/>
            <w:color w:val="00B0F0"/>
            <w:sz w:val="20"/>
          </w:rPr>
          <w:t>trivikramnt@yahoo.co.in</w:t>
        </w:r>
      </w:hyperlink>
    </w:p>
    <w:p w:rsidR="00DD009C" w:rsidRPr="00583938" w:rsidRDefault="00DE777C" w:rsidP="00DD009C">
      <w:pPr>
        <w:autoSpaceDE w:val="0"/>
        <w:autoSpaceDN w:val="0"/>
        <w:spacing w:after="0" w:line="275" w:lineRule="auto"/>
        <w:jc w:val="both"/>
        <w:rPr>
          <w:rFonts w:ascii="Bookman Old Style" w:eastAsia="Arial" w:hAnsi="Bookman Old Style"/>
          <w:b/>
          <w:bCs/>
          <w:color w:val="00B0F0"/>
          <w:sz w:val="20"/>
          <w:u w:val="single"/>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J N Singh,     Email:</w:t>
      </w:r>
      <w:r w:rsidRPr="00583938">
        <w:rPr>
          <w:rFonts w:ascii="Bookman Old Style" w:eastAsia="Arial" w:hAnsi="Bookman Old Style"/>
          <w:color w:val="000000"/>
          <w:sz w:val="20"/>
        </w:rPr>
        <w:t xml:space="preserve">  </w:t>
      </w:r>
      <w:hyperlink r:id="rId12" w:history="1">
        <w:r w:rsidRPr="00583938">
          <w:rPr>
            <w:rStyle w:val="Hyperlink"/>
            <w:rFonts w:ascii="Bookman Old Style" w:eastAsia="Arial" w:hAnsi="Bookman Old Style"/>
            <w:b/>
            <w:bCs/>
            <w:color w:val="00B0F0"/>
            <w:sz w:val="20"/>
          </w:rPr>
          <w:t>jagadipsingh@yahoo.com</w:t>
        </w:r>
      </w:hyperlink>
    </w:p>
    <w:p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rsidR="00DD009C" w:rsidRPr="00583938" w:rsidRDefault="00DD009C" w:rsidP="00734400">
      <w:pPr>
        <w:autoSpaceDE w:val="0"/>
        <w:autoSpaceDN w:val="0"/>
        <w:jc w:val="both"/>
        <w:rPr>
          <w:rFonts w:ascii="Bookman Old Style" w:eastAsia="Arial" w:hAnsi="Bookman Old Style"/>
          <w:color w:val="000000"/>
          <w:sz w:val="20"/>
        </w:rPr>
      </w:pPr>
      <w:proofErr w:type="gramStart"/>
      <w:r w:rsidRPr="00583938">
        <w:rPr>
          <w:rFonts w:ascii="Bookman Old Style" w:eastAsia="Arial" w:hAnsi="Bookman Old Style"/>
          <w:color w:val="000000"/>
          <w:sz w:val="20"/>
        </w:rPr>
        <w:t xml:space="preserve">Tender for Interior, Furnishing, Electrical &amp; allied works &amp; Data Cabling works in Central Bank of India </w:t>
      </w:r>
      <w:r w:rsidR="00770A3D">
        <w:rPr>
          <w:rFonts w:ascii="Bookman Old Style" w:eastAsia="Arial Unicode MS" w:hAnsi="Bookman Old Style" w:cs="Arial Unicode MS"/>
          <w:color w:val="000000"/>
          <w:sz w:val="20"/>
        </w:rPr>
        <w:t xml:space="preserve">New Chandigarh Branch,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Mohali</w:t>
      </w:r>
      <w:r w:rsidR="00734400" w:rsidRPr="00583938">
        <w:rPr>
          <w:rFonts w:ascii="Bookman Old Style" w:eastAsia="Arial" w:hAnsi="Bookman Old Style"/>
          <w:color w:val="000000"/>
          <w:sz w:val="20"/>
        </w:rPr>
        <w:t>.</w:t>
      </w:r>
      <w:proofErr w:type="gramEnd"/>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rsidR="00DD009C" w:rsidRPr="00583938" w:rsidRDefault="00DD009C" w:rsidP="00DD009C">
      <w:pPr>
        <w:spacing w:after="0" w:line="275" w:lineRule="auto"/>
        <w:rPr>
          <w:rFonts w:ascii="Bookman Old Style" w:eastAsia="Arial" w:hAnsi="Bookman Old Style"/>
          <w:sz w:val="16"/>
          <w:szCs w:val="16"/>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0B4C1F">
        <w:rPr>
          <w:rFonts w:ascii="Bookman Old Style" w:eastAsia="Arial" w:hAnsi="Bookman Old Style"/>
          <w:sz w:val="20"/>
        </w:rPr>
        <w:t>16</w:t>
      </w:r>
      <w:r w:rsidR="00583938" w:rsidRPr="00583938">
        <w:rPr>
          <w:rFonts w:ascii="Bookman Old Style" w:eastAsia="Arial" w:hAnsi="Bookman Old Style"/>
          <w:sz w:val="20"/>
        </w:rPr>
        <w:t>.12</w:t>
      </w:r>
      <w:r w:rsidRPr="00583938">
        <w:rPr>
          <w:rFonts w:ascii="Bookman Old Style" w:eastAsia="Arial" w:hAnsi="Bookman Old Style"/>
          <w:sz w:val="20"/>
        </w:rPr>
        <w:t>.2023</w:t>
      </w: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2C5D2C" w:rsidRDefault="002C5D2C" w:rsidP="00DD009C">
      <w:pPr>
        <w:spacing w:after="0" w:line="240" w:lineRule="auto"/>
        <w:rPr>
          <w:rFonts w:ascii="Bookman Old Style" w:hAnsi="Bookman Old Style"/>
          <w:sz w:val="20"/>
        </w:rPr>
      </w:pPr>
      <w:r>
        <w:rPr>
          <w:rFonts w:ascii="Bookman Old Style" w:hAnsi="Bookman Old Style"/>
          <w:sz w:val="20"/>
        </w:rPr>
        <w:t xml:space="preserve">(Anil </w:t>
      </w:r>
      <w:proofErr w:type="spellStart"/>
      <w:r>
        <w:rPr>
          <w:rFonts w:ascii="Bookman Old Style" w:hAnsi="Bookman Old Style"/>
          <w:sz w:val="20"/>
        </w:rPr>
        <w:t>Batra</w:t>
      </w:r>
      <w:proofErr w:type="spellEnd"/>
      <w:r>
        <w:rPr>
          <w:rFonts w:ascii="Bookman Old Style" w:hAnsi="Bookman Old Style"/>
          <w:sz w:val="20"/>
        </w:rPr>
        <w:t>)</w:t>
      </w:r>
      <w:bookmarkStart w:id="0" w:name="_GoBack"/>
      <w:bookmarkEnd w:id="0"/>
    </w:p>
    <w:p w:rsidR="002C5D2C" w:rsidRDefault="002C5D2C" w:rsidP="00DD009C">
      <w:pPr>
        <w:spacing w:after="0" w:line="240" w:lineRule="auto"/>
        <w:rPr>
          <w:rFonts w:ascii="Bookman Old Style" w:hAnsi="Bookman Old Style"/>
          <w:sz w:val="20"/>
        </w:rPr>
      </w:pPr>
      <w:r>
        <w:rPr>
          <w:rFonts w:ascii="Bookman Old Style" w:hAnsi="Bookman Old Style"/>
          <w:sz w:val="20"/>
        </w:rPr>
        <w:t>Chief Manager-BSD</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Regional Office, </w:t>
      </w:r>
      <w:r w:rsidR="000B4C1F">
        <w:rPr>
          <w:rFonts w:ascii="Bookman Old Style" w:eastAsia="Arial" w:hAnsi="Bookman Old Style"/>
          <w:sz w:val="20"/>
        </w:rPr>
        <w:t>Chandigarh</w:t>
      </w:r>
    </w:p>
    <w:p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1000/- (One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w:t>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w:t>
      </w:r>
      <w:r w:rsidR="002A2B33" w:rsidRPr="00583938">
        <w:rPr>
          <w:rFonts w:ascii="Bookman Old Style" w:eastAsia="Arial" w:hAnsi="Bookman Old Style"/>
          <w:sz w:val="20"/>
        </w:rPr>
        <w:t>25</w:t>
      </w:r>
      <w:r w:rsidRPr="00583938">
        <w:rPr>
          <w:rFonts w:ascii="Bookman Old Style" w:eastAsia="Arial" w:hAnsi="Bookman Old Style"/>
          <w:sz w:val="20"/>
        </w:rPr>
        <w:t>,000/- (Twenty</w:t>
      </w:r>
      <w:r w:rsidR="002A2B33" w:rsidRPr="00583938">
        <w:rPr>
          <w:rFonts w:ascii="Bookman Old Style" w:eastAsia="Arial" w:hAnsi="Bookman Old Style"/>
          <w:sz w:val="20"/>
        </w:rPr>
        <w:t xml:space="preserve"> Five</w:t>
      </w:r>
      <w:r w:rsidRPr="00583938">
        <w:rPr>
          <w:rFonts w:ascii="Bookman Old Style" w:eastAsia="Arial" w:hAnsi="Bookman Old Style"/>
          <w:sz w:val="20"/>
        </w:rPr>
        <w:t xml:space="preserv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4320" w:hanging="4320"/>
        <w:rPr>
          <w:rFonts w:ascii="Bookman Old Style" w:eastAsia="Arial" w:hAnsi="Bookman Old Style"/>
          <w:sz w:val="20"/>
        </w:rPr>
      </w:pPr>
    </w:p>
    <w:p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8E4A2F">
        <w:rPr>
          <w:rFonts w:ascii="Bookman Old Style" w:eastAsia="Arial Unicode MS" w:hAnsi="Bookman Old Style" w:cs="Arial Unicode MS"/>
          <w:color w:val="000000"/>
          <w:sz w:val="20"/>
        </w:rPr>
        <w:t xml:space="preserve">New Chandigarh Branch, </w:t>
      </w:r>
      <w:proofErr w:type="spellStart"/>
      <w:proofErr w:type="gramStart"/>
      <w:r w:rsidR="008E4A2F">
        <w:rPr>
          <w:rFonts w:ascii="Bookman Old Style" w:eastAsia="Arial Unicode MS" w:hAnsi="Bookman Old Style" w:cs="Arial Unicode MS"/>
          <w:color w:val="000000"/>
          <w:sz w:val="20"/>
        </w:rPr>
        <w:t>Distt</w:t>
      </w:r>
      <w:proofErr w:type="spellEnd"/>
      <w:proofErr w:type="gramEnd"/>
      <w:r w:rsidR="008E4A2F">
        <w:rPr>
          <w:rFonts w:ascii="Bookman Old Style" w:eastAsia="Arial Unicode MS" w:hAnsi="Bookman Old Style" w:cs="Arial Unicode MS"/>
          <w:color w:val="000000"/>
          <w:sz w:val="20"/>
        </w:rPr>
        <w:t xml:space="preserve"> Mohali</w:t>
      </w:r>
    </w:p>
    <w:p w:rsidR="00DD009C" w:rsidRPr="00583938" w:rsidRDefault="00DD009C" w:rsidP="00DD009C">
      <w:pPr>
        <w:autoSpaceDE w:val="0"/>
        <w:autoSpaceDN w:val="0"/>
        <w:jc w:val="center"/>
        <w:rPr>
          <w:rFonts w:ascii="Bookman Old Style" w:eastAsia="Arial" w:hAnsi="Bookman Old Style"/>
          <w:color w:val="000000"/>
          <w:sz w:val="20"/>
        </w:rPr>
      </w:pPr>
    </w:p>
    <w:p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rsidR="00DD009C" w:rsidRPr="000031EA" w:rsidRDefault="00583938" w:rsidP="00DD009C">
      <w:pPr>
        <w:spacing w:line="275" w:lineRule="auto"/>
        <w:rPr>
          <w:rFonts w:eastAsia="Arial" w:cstheme="minorHAnsi"/>
          <w:szCs w:val="22"/>
        </w:rPr>
      </w:pPr>
      <w:r w:rsidRPr="000031EA">
        <w:rPr>
          <w:rFonts w:cstheme="minorHAnsi"/>
          <w:b/>
          <w:szCs w:val="22"/>
        </w:rPr>
        <w:t>RO/</w:t>
      </w:r>
      <w:r w:rsidR="000B4C1F">
        <w:rPr>
          <w:rFonts w:cstheme="minorHAnsi"/>
          <w:b/>
          <w:szCs w:val="22"/>
        </w:rPr>
        <w:t>CHD/BSD/2023-24/</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Dated-:</w:t>
      </w:r>
      <w:r w:rsidR="000B4C1F">
        <w:rPr>
          <w:rFonts w:eastAsia="Arial" w:cstheme="minorHAnsi"/>
          <w:szCs w:val="22"/>
        </w:rPr>
        <w:t>07.12.2023</w:t>
      </w:r>
    </w:p>
    <w:p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proofErr w:type="spellStart"/>
      <w:r w:rsidRPr="000031EA">
        <w:rPr>
          <w:rFonts w:eastAsia="Arial" w:cstheme="minorHAnsi"/>
          <w:b/>
          <w:bCs/>
          <w:szCs w:val="22"/>
        </w:rPr>
        <w:t>Reg</w:t>
      </w:r>
      <w:proofErr w:type="spellEnd"/>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New Chandigarh Branch, </w:t>
      </w:r>
      <w:proofErr w:type="spellStart"/>
      <w:r w:rsidR="008E4A2F">
        <w:rPr>
          <w:rFonts w:eastAsia="Arial" w:cstheme="minorHAnsi"/>
          <w:b/>
          <w:bCs/>
          <w:szCs w:val="22"/>
        </w:rPr>
        <w:t>Distt</w:t>
      </w:r>
      <w:proofErr w:type="spellEnd"/>
      <w:r w:rsidR="008E4A2F">
        <w:rPr>
          <w:rFonts w:eastAsia="Arial" w:cstheme="minorHAnsi"/>
          <w:b/>
          <w:bCs/>
          <w:szCs w:val="22"/>
        </w:rPr>
        <w:t xml:space="preserve"> Mohali</w:t>
      </w:r>
      <w:r w:rsidRPr="000031EA">
        <w:rPr>
          <w:rFonts w:eastAsia="Arial" w:cstheme="minorHAnsi"/>
          <w:b/>
          <w:bCs/>
          <w:szCs w:val="22"/>
        </w:rPr>
        <w:t xml:space="preserve"> </w:t>
      </w:r>
    </w:p>
    <w:p w:rsidR="00DD009C" w:rsidRPr="000031EA" w:rsidRDefault="00DD009C" w:rsidP="00DD009C">
      <w:pPr>
        <w:jc w:val="both"/>
        <w:rPr>
          <w:rFonts w:eastAsia="Arial" w:cstheme="minorHAnsi"/>
          <w:szCs w:val="22"/>
        </w:rPr>
      </w:pPr>
    </w:p>
    <w:p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2</w:t>
      </w:r>
      <w:r w:rsidR="008E4A2F" w:rsidRPr="003500B6">
        <w:rPr>
          <w:rFonts w:asciiTheme="minorHAnsi" w:eastAsia="Arial" w:hAnsiTheme="minorHAnsi" w:cstheme="minorHAnsi"/>
          <w:sz w:val="18"/>
          <w:szCs w:val="18"/>
          <w:vertAlign w:val="superscript"/>
        </w:rPr>
        <w:t>nd</w:t>
      </w:r>
      <w:r w:rsidR="008E4A2F" w:rsidRPr="003500B6">
        <w:rPr>
          <w:rFonts w:asciiTheme="minorHAnsi" w:eastAsia="Arial" w:hAnsiTheme="minorHAnsi" w:cstheme="minorHAnsi"/>
          <w:sz w:val="18"/>
          <w:szCs w:val="18"/>
        </w:rPr>
        <w:t xml:space="preserve"> floor, SCO 58-59, Bank square, Sec 17 B</w:t>
      </w:r>
      <w:r w:rsidRPr="003500B6">
        <w:rPr>
          <w:rFonts w:asciiTheme="minorHAnsi" w:eastAsia="Arial" w:hAnsiTheme="minorHAnsi" w:cstheme="minorHAnsi"/>
          <w:sz w:val="18"/>
          <w:szCs w:val="18"/>
        </w:rPr>
        <w:t xml:space="preserve"> </w:t>
      </w:r>
      <w:r w:rsidR="0010710D" w:rsidRPr="003500B6">
        <w:rPr>
          <w:rFonts w:asciiTheme="minorHAnsi" w:eastAsia="Arial" w:hAnsiTheme="minorHAnsi" w:cstheme="minorHAnsi"/>
          <w:sz w:val="18"/>
          <w:szCs w:val="18"/>
        </w:rPr>
        <w:t>CHANDIGARH</w:t>
      </w:r>
      <w:r w:rsidR="003500B6" w:rsidRPr="003500B6">
        <w:rPr>
          <w:rFonts w:asciiTheme="minorHAnsi" w:eastAsia="Arial" w:hAnsiTheme="minorHAnsi" w:cstheme="minorHAnsi"/>
          <w:sz w:val="18"/>
          <w:szCs w:val="18"/>
        </w:rPr>
        <w:t xml:space="preserve"> or can be downloaded from the link :</w:t>
      </w:r>
    </w:p>
    <w:p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rsidR="0044454A" w:rsidRPr="003500B6" w:rsidRDefault="00DD009C" w:rsidP="0044454A">
      <w:pPr>
        <w:autoSpaceDE w:val="0"/>
        <w:autoSpaceDN w:val="0"/>
        <w:spacing w:after="0"/>
        <w:jc w:val="both"/>
        <w:rPr>
          <w:rFonts w:eastAsia="Arial" w:cstheme="minorHAnsi"/>
          <w:color w:val="000000"/>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Regional Office, 2</w:t>
      </w:r>
      <w:r w:rsidR="003500B6" w:rsidRPr="003500B6">
        <w:rPr>
          <w:rFonts w:eastAsia="Arial" w:cstheme="minorHAnsi"/>
          <w:sz w:val="18"/>
          <w:szCs w:val="18"/>
          <w:vertAlign w:val="superscript"/>
        </w:rPr>
        <w:t>nd</w:t>
      </w:r>
      <w:r w:rsidR="003500B6" w:rsidRPr="003500B6">
        <w:rPr>
          <w:rFonts w:eastAsia="Arial" w:cstheme="minorHAnsi"/>
          <w:sz w:val="18"/>
          <w:szCs w:val="18"/>
        </w:rPr>
        <w:t xml:space="preserve"> floor, SCO 58-59, Bank square, Sec 17 B CHANDIGARH</w:t>
      </w:r>
      <w:r w:rsidR="00367C0E" w:rsidRPr="003500B6">
        <w:rPr>
          <w:rFonts w:eastAsia="Arial" w:cstheme="minorHAnsi"/>
          <w:color w:val="FF0000"/>
          <w:sz w:val="18"/>
          <w:szCs w:val="18"/>
        </w:rPr>
        <w:t xml:space="preserve"> </w:t>
      </w:r>
      <w:r w:rsidR="000B4C1F" w:rsidRPr="003500B6">
        <w:rPr>
          <w:rFonts w:eastAsia="Arial" w:cstheme="minorHAnsi"/>
          <w:sz w:val="18"/>
          <w:szCs w:val="18"/>
        </w:rPr>
        <w:t>160017</w:t>
      </w:r>
      <w:r w:rsidR="0025127B"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ED7090" w:rsidRPr="003500B6">
        <w:rPr>
          <w:rFonts w:eastAsia="Arial Unicode MS" w:cstheme="minorHAnsi"/>
          <w:color w:val="000000"/>
          <w:sz w:val="18"/>
          <w:szCs w:val="18"/>
        </w:rPr>
        <w:t>New Chandigarh</w:t>
      </w: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770A3D" w:rsidRPr="003500B6">
        <w:rPr>
          <w:rFonts w:asciiTheme="minorHAnsi" w:eastAsia="Arial" w:hAnsiTheme="minorHAnsi" w:cstheme="minorHAnsi"/>
          <w:color w:val="000000"/>
          <w:sz w:val="18"/>
          <w:szCs w:val="18"/>
        </w:rPr>
        <w:t>7988861188</w:t>
      </w:r>
      <w:r w:rsidRPr="003500B6">
        <w:rPr>
          <w:rFonts w:asciiTheme="minorHAnsi" w:eastAsia="Arial" w:hAnsiTheme="minorHAnsi" w:cstheme="minorHAnsi"/>
          <w:sz w:val="18"/>
          <w:szCs w:val="18"/>
        </w:rPr>
        <w:t xml:space="preserve"> (10am to 5pm). The bids shall not include any conditions whatsoever. Only unconditional tenders will be accepted. Any conditional tender will be liable for rejection.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8625EC" w:rsidRPr="003500B6">
        <w:rPr>
          <w:rFonts w:asciiTheme="minorHAnsi" w:eastAsia="Arial" w:hAnsiTheme="minorHAnsi" w:cstheme="minorHAnsi"/>
          <w:sz w:val="18"/>
          <w:szCs w:val="18"/>
        </w:rPr>
        <w:t>4</w:t>
      </w:r>
      <w:r w:rsidRPr="003500B6">
        <w:rPr>
          <w:rFonts w:asciiTheme="minorHAnsi" w:eastAsia="Arial" w:hAnsiTheme="minorHAnsi" w:cstheme="minorHAnsi"/>
          <w:sz w:val="18"/>
          <w:szCs w:val="18"/>
        </w:rPr>
        <w:t xml:space="preserve">:00 PM of </w:t>
      </w:r>
      <w:r w:rsidR="00583938" w:rsidRPr="003500B6">
        <w:rPr>
          <w:rFonts w:asciiTheme="minorHAnsi" w:eastAsia="Arial" w:hAnsiTheme="minorHAnsi" w:cstheme="minorHAnsi"/>
          <w:sz w:val="18"/>
          <w:szCs w:val="18"/>
        </w:rPr>
        <w:t>1</w:t>
      </w:r>
      <w:r w:rsidR="008625EC" w:rsidRPr="003500B6">
        <w:rPr>
          <w:rFonts w:asciiTheme="minorHAnsi" w:eastAsia="Arial" w:hAnsiTheme="minorHAnsi" w:cstheme="minorHAnsi"/>
          <w:sz w:val="18"/>
          <w:szCs w:val="18"/>
        </w:rPr>
        <w:t>6</w:t>
      </w:r>
      <w:r w:rsidR="00583938" w:rsidRPr="003500B6">
        <w:rPr>
          <w:rFonts w:asciiTheme="minorHAnsi" w:eastAsia="Arial" w:hAnsiTheme="minorHAnsi" w:cstheme="minorHAnsi"/>
          <w:sz w:val="18"/>
          <w:szCs w:val="18"/>
        </w:rPr>
        <w:t>.12</w:t>
      </w:r>
      <w:r w:rsidRPr="003500B6">
        <w:rPr>
          <w:rFonts w:asciiTheme="minorHAnsi" w:eastAsia="Arial" w:hAnsiTheme="minorHAnsi" w:cstheme="minorHAnsi"/>
          <w:sz w:val="18"/>
          <w:szCs w:val="18"/>
        </w:rPr>
        <w:t xml:space="preserve">.2023. The Technical Bid of tender will be opened on </w:t>
      </w:r>
      <w:r w:rsidR="00583938" w:rsidRPr="003500B6">
        <w:rPr>
          <w:rFonts w:asciiTheme="minorHAnsi" w:eastAsia="Arial" w:hAnsiTheme="minorHAnsi" w:cstheme="minorHAnsi"/>
          <w:sz w:val="18"/>
          <w:szCs w:val="18"/>
        </w:rPr>
        <w:t>1</w:t>
      </w:r>
      <w:r w:rsidR="0025127B" w:rsidRPr="003500B6">
        <w:rPr>
          <w:rFonts w:asciiTheme="minorHAnsi" w:eastAsia="Arial" w:hAnsiTheme="minorHAnsi" w:cstheme="minorHAnsi"/>
          <w:sz w:val="18"/>
          <w:szCs w:val="18"/>
        </w:rPr>
        <w:t>6</w:t>
      </w:r>
      <w:r w:rsidR="00583938" w:rsidRPr="003500B6">
        <w:rPr>
          <w:rFonts w:asciiTheme="minorHAnsi" w:eastAsia="Arial" w:hAnsiTheme="minorHAnsi" w:cstheme="minorHAnsi"/>
          <w:sz w:val="18"/>
          <w:szCs w:val="18"/>
        </w:rPr>
        <w:t>.12</w:t>
      </w:r>
      <w:r w:rsidRPr="003500B6">
        <w:rPr>
          <w:rFonts w:asciiTheme="minorHAnsi" w:eastAsia="Arial" w:hAnsiTheme="minorHAnsi" w:cstheme="minorHAnsi"/>
          <w:sz w:val="18"/>
          <w:szCs w:val="18"/>
        </w:rPr>
        <w:t>.2023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rsidR="0044454A" w:rsidRPr="003500B6" w:rsidRDefault="0044454A" w:rsidP="0044454A">
      <w:pPr>
        <w:pStyle w:val="ListParagraph"/>
        <w:rPr>
          <w:rFonts w:asciiTheme="minorHAnsi" w:eastAsia="Arial" w:hAnsiTheme="minorHAnsi" w:cstheme="minorHAnsi"/>
          <w:sz w:val="18"/>
          <w:szCs w:val="18"/>
        </w:rPr>
      </w:pP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770A3D" w:rsidRPr="003500B6">
        <w:rPr>
          <w:rFonts w:asciiTheme="minorHAnsi" w:eastAsia="Arial" w:hAnsiTheme="minorHAnsi" w:cstheme="minorHAnsi"/>
          <w:sz w:val="18"/>
          <w:szCs w:val="18"/>
        </w:rPr>
        <w:t>Chandigarh</w:t>
      </w:r>
      <w:r w:rsidRPr="003500B6">
        <w:rPr>
          <w:rFonts w:asciiTheme="minorHAnsi" w:eastAsia="Arial" w:hAnsiTheme="minorHAnsi" w:cstheme="minorHAnsi"/>
          <w:sz w:val="18"/>
          <w:szCs w:val="18"/>
        </w:rPr>
        <w:t xml:space="preserve"> may be contacted. </w:t>
      </w: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B376EE" w:rsidRDefault="002C5D2C" w:rsidP="00367C0E">
      <w:pPr>
        <w:spacing w:after="0" w:line="240" w:lineRule="auto"/>
        <w:rPr>
          <w:rFonts w:eastAsia="Arial" w:cstheme="minorHAnsi"/>
          <w:b/>
          <w:bCs/>
          <w:szCs w:val="22"/>
        </w:rPr>
      </w:pPr>
      <w:r>
        <w:rPr>
          <w:rFonts w:eastAsia="Arial" w:cstheme="minorHAnsi"/>
          <w:b/>
          <w:bCs/>
          <w:szCs w:val="22"/>
        </w:rPr>
        <w:t xml:space="preserve">(Anil </w:t>
      </w:r>
      <w:proofErr w:type="spellStart"/>
      <w:r>
        <w:rPr>
          <w:rFonts w:eastAsia="Arial" w:cstheme="minorHAnsi"/>
          <w:b/>
          <w:bCs/>
          <w:szCs w:val="22"/>
        </w:rPr>
        <w:t>Batra</w:t>
      </w:r>
      <w:proofErr w:type="spellEnd"/>
      <w:r>
        <w:rPr>
          <w:rFonts w:eastAsia="Arial" w:cstheme="minorHAnsi"/>
          <w:b/>
          <w:bCs/>
          <w:szCs w:val="22"/>
        </w:rPr>
        <w:t>)</w:t>
      </w:r>
    </w:p>
    <w:p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Chandigarh</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Default="0044454A"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3500B6" w:rsidRDefault="003500B6" w:rsidP="000031EA">
      <w:pPr>
        <w:spacing w:line="275" w:lineRule="auto"/>
        <w:jc w:val="center"/>
        <w:rPr>
          <w:rFonts w:ascii="Bookman Old Style" w:eastAsia="Arial" w:hAnsi="Bookman Old Style"/>
          <w:b/>
          <w:bCs/>
          <w:sz w:val="20"/>
        </w:rPr>
      </w:pPr>
    </w:p>
    <w:p w:rsidR="00DD009C" w:rsidRPr="00583938" w:rsidRDefault="00DD009C" w:rsidP="000031EA">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FORM OF TENDER</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770A3D">
        <w:rPr>
          <w:rFonts w:ascii="Bookman Old Style" w:eastAsia="Arial" w:hAnsi="Bookman Old Style"/>
          <w:b/>
          <w:bCs/>
          <w:sz w:val="20"/>
          <w:u w:val="single"/>
        </w:rPr>
        <w:t>Chandigarh</w:t>
      </w:r>
    </w:p>
    <w:p w:rsidR="00DD009C" w:rsidRPr="00583938" w:rsidRDefault="00DD009C" w:rsidP="0044454A">
      <w:pPr>
        <w:spacing w:after="0" w:line="275" w:lineRule="auto"/>
        <w:jc w:val="both"/>
        <w:rPr>
          <w:rFonts w:ascii="Bookman Old Style" w:eastAsia="Arial" w:hAnsi="Bookman Old Style"/>
          <w:b/>
          <w:bCs/>
          <w:sz w:val="20"/>
          <w:u w:val="single"/>
        </w:rPr>
      </w:pPr>
    </w:p>
    <w:p w:rsidR="00353354" w:rsidRPr="00583938" w:rsidRDefault="0044454A"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roofErr w:type="spellStart"/>
      <w:r w:rsidRPr="00583938">
        <w:rPr>
          <w:rFonts w:ascii="Bookman Old Style" w:eastAsia="Arial" w:hAnsi="Bookman Old Style"/>
          <w:b/>
          <w:bCs/>
          <w:sz w:val="20"/>
        </w:rPr>
        <w:t>Reg</w:t>
      </w:r>
      <w:proofErr w:type="spellEnd"/>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New Chandigarh Branch, </w:t>
      </w:r>
      <w:proofErr w:type="spellStart"/>
      <w:r w:rsidR="003500B6">
        <w:rPr>
          <w:rFonts w:ascii="Bookman Old Style" w:eastAsia="Arial" w:hAnsi="Bookman Old Style" w:cs="Arial"/>
          <w:b/>
          <w:bCs/>
          <w:sz w:val="20"/>
        </w:rPr>
        <w:t>Distt</w:t>
      </w:r>
      <w:proofErr w:type="spellEnd"/>
      <w:r w:rsidR="003500B6">
        <w:rPr>
          <w:rFonts w:ascii="Bookman Old Style" w:eastAsia="Arial" w:hAnsi="Bookman Old Style" w:cs="Arial"/>
          <w:b/>
          <w:bCs/>
          <w:sz w:val="20"/>
        </w:rPr>
        <w:t>- Mohali</w:t>
      </w:r>
    </w:p>
    <w:p w:rsidR="00DD009C" w:rsidRPr="00583938" w:rsidRDefault="00DD009C" w:rsidP="0044454A">
      <w:pPr>
        <w:tabs>
          <w:tab w:val="left" w:pos="630"/>
        </w:tabs>
        <w:autoSpaceDE w:val="0"/>
        <w:autoSpaceDN w:val="0"/>
        <w:spacing w:after="0"/>
        <w:ind w:left="1440" w:hanging="1440"/>
        <w:jc w:val="both"/>
        <w:rPr>
          <w:rFonts w:ascii="Bookman Old Style" w:eastAsia="Arial" w:hAnsi="Bookman Old Style" w:cs="Arial"/>
          <w:b/>
          <w:bCs/>
          <w:color w:val="000000"/>
          <w:sz w:val="20"/>
        </w:rPr>
      </w:pPr>
    </w:p>
    <w:p w:rsidR="0044454A" w:rsidRPr="00583938" w:rsidRDefault="0044454A"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w:t>
      </w:r>
      <w:proofErr w:type="spellStart"/>
      <w:r w:rsidRPr="00583938">
        <w:rPr>
          <w:rFonts w:ascii="Bookman Old Style" w:eastAsia="Arial" w:hAnsi="Bookman Old Style"/>
          <w:sz w:val="20"/>
        </w:rPr>
        <w:t>Octroi</w:t>
      </w:r>
      <w:proofErr w:type="spellEnd"/>
      <w:r w:rsidRPr="00583938">
        <w:rPr>
          <w:rFonts w:ascii="Bookman Old Style" w:eastAsia="Arial" w:hAnsi="Bookman Old Style"/>
          <w:sz w:val="20"/>
        </w:rPr>
        <w:t xml:space="preserve">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rPr>
          <w:rFonts w:ascii="Bookman Old Style" w:eastAsia="Arial" w:hAnsi="Bookman Old Style"/>
          <w:sz w:val="20"/>
        </w:rPr>
      </w:pPr>
    </w:p>
    <w:p w:rsidR="00353354" w:rsidRPr="00583938" w:rsidRDefault="00353354" w:rsidP="00DD009C">
      <w:pPr>
        <w:jc w:val="center"/>
        <w:rPr>
          <w:rFonts w:ascii="Bookman Old Style" w:eastAsia="Arial" w:hAnsi="Bookman Old Style"/>
          <w:b/>
          <w:bCs/>
          <w:sz w:val="20"/>
          <w:u w:val="single"/>
        </w:rPr>
      </w:pPr>
    </w:p>
    <w:p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rsidR="00353354" w:rsidRPr="00583938" w:rsidRDefault="00353354" w:rsidP="00DD009C">
      <w:pPr>
        <w:jc w:val="center"/>
        <w:rPr>
          <w:rFonts w:ascii="Bookman Old Style" w:eastAsia="Arial" w:hAnsi="Bookman Old Style"/>
          <w:b/>
          <w:bCs/>
          <w:sz w:val="20"/>
          <w:u w:val="single"/>
        </w:rPr>
      </w:pPr>
    </w:p>
    <w:p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financial years ending 31.03.2023. This should be duly audited and certified by Chartered Accountant, if required as per norms. These should be supported by audit statements or tax returns.</w:t>
      </w:r>
    </w:p>
    <w:p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the last 5 years ending 31.03.2023. (Proforma-1). This should be certified by Competent Officer of the Organization under whose supervision the work/ project has been done.</w:t>
      </w:r>
    </w:p>
    <w:p w:rsidR="00DD009C" w:rsidRPr="00583938" w:rsidRDefault="00DD009C" w:rsidP="00DD009C">
      <w:pPr>
        <w:pStyle w:val="ListParagraph"/>
        <w:spacing w:line="275" w:lineRule="auto"/>
        <w:contextualSpacing/>
        <w:rPr>
          <w:rFonts w:ascii="Bookman Old Style" w:eastAsia="Arial" w:hAnsi="Bookman Old Style"/>
          <w:sz w:val="20"/>
          <w:szCs w:val="20"/>
        </w:rPr>
      </w:pPr>
    </w:p>
    <w:p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 xml:space="preserve">. </w:t>
      </w:r>
      <w:r w:rsidR="004C0B9E">
        <w:rPr>
          <w:rFonts w:ascii="Bookman Old Style" w:eastAsia="Arial" w:hAnsi="Bookman Old Style"/>
          <w:sz w:val="20"/>
        </w:rPr>
        <w:t>7</w:t>
      </w:r>
      <w:proofErr w:type="gramStart"/>
      <w:r w:rsidR="00353354" w:rsidRPr="00583938">
        <w:rPr>
          <w:rFonts w:ascii="Bookman Old Style" w:eastAsia="Arial" w:hAnsi="Bookman Old Style"/>
          <w:sz w:val="20"/>
        </w:rPr>
        <w:t>,</w:t>
      </w:r>
      <w:r w:rsidR="004C0B9E">
        <w:rPr>
          <w:rFonts w:ascii="Bookman Old Style" w:eastAsia="Arial" w:hAnsi="Bookman Old Style"/>
          <w:sz w:val="20"/>
        </w:rPr>
        <w:t>20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,40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4C0B9E">
        <w:rPr>
          <w:rFonts w:ascii="Bookman Old Style" w:eastAsia="Arial" w:hAnsi="Bookman Old Style"/>
          <w:sz w:val="20"/>
        </w:rPr>
        <w:t>60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DD009C" w:rsidRPr="00583938" w:rsidRDefault="00DD009C" w:rsidP="0044454A">
      <w:pPr>
        <w:spacing w:line="275" w:lineRule="auto"/>
        <w:ind w:left="851" w:firstLine="319"/>
        <w:jc w:val="both"/>
        <w:rPr>
          <w:rFonts w:ascii="Bookman Old Style" w:hAnsi="Bookman Old Style"/>
          <w:sz w:val="20"/>
        </w:rPr>
      </w:pPr>
      <w:r w:rsidRPr="00583938">
        <w:rPr>
          <w:rFonts w:ascii="Bookman Old Style" w:eastAsia="Arial" w:hAnsi="Bookman Old Style"/>
          <w:sz w:val="20"/>
        </w:rPr>
        <w:t>Only such contractors who fulfill the aforesaid eligibility criteria need to apply</w:t>
      </w:r>
    </w:p>
    <w:p w:rsidR="00DD009C" w:rsidRPr="00583938" w:rsidRDefault="00DD009C" w:rsidP="00DD009C">
      <w:pPr>
        <w:pStyle w:val="ListParagraph"/>
        <w:spacing w:line="275" w:lineRule="auto"/>
        <w:ind w:left="1080"/>
        <w:rPr>
          <w:rFonts w:ascii="Bookman Old Style" w:eastAsia="Arial" w:hAnsi="Bookman Old Style"/>
          <w:sz w:val="20"/>
          <w:szCs w:val="20"/>
        </w:rPr>
      </w:pPr>
    </w:p>
    <w:p w:rsidR="0044454A" w:rsidRPr="00583938" w:rsidRDefault="0044454A" w:rsidP="00DD009C">
      <w:pPr>
        <w:pStyle w:val="ListParagraph"/>
        <w:spacing w:line="275" w:lineRule="auto"/>
        <w:ind w:left="1080"/>
        <w:rPr>
          <w:rFonts w:ascii="Bookman Old Style" w:eastAsia="Arial" w:hAnsi="Bookman Old Style"/>
          <w:sz w:val="20"/>
          <w:szCs w:val="20"/>
        </w:rPr>
      </w:pPr>
    </w:p>
    <w:p w:rsidR="00DD009C" w:rsidRPr="003500B6" w:rsidRDefault="00DD009C" w:rsidP="003500B6">
      <w:pPr>
        <w:pStyle w:val="ListParagraph"/>
        <w:numPr>
          <w:ilvl w:val="0"/>
          <w:numId w:val="3"/>
        </w:numPr>
        <w:spacing w:line="275" w:lineRule="auto"/>
        <w:ind w:hanging="360"/>
        <w:rPr>
          <w:rFonts w:ascii="Bookman Old Style" w:hAnsi="Bookman Old Style"/>
          <w:b/>
          <w:bCs/>
          <w:sz w:val="20"/>
          <w:szCs w:val="20"/>
          <w:u w:val="single"/>
        </w:rPr>
      </w:pPr>
      <w:r w:rsidRPr="003500B6">
        <w:rPr>
          <w:rFonts w:ascii="Bookman Old Style" w:hAnsi="Bookman Old Style"/>
          <w:b/>
          <w:bCs/>
          <w:sz w:val="20"/>
          <w:szCs w:val="20"/>
          <w:u w:val="single"/>
        </w:rPr>
        <w:t>EVALUATION CRITERIA:</w:t>
      </w:r>
    </w:p>
    <w:p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lastRenderedPageBreak/>
        <w:t>For the purpose of Tender, the short listed eligible applicants will be evaluated in the following manner:</w:t>
      </w: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rsidR="00DD009C" w:rsidRPr="00583938" w:rsidRDefault="00DD009C" w:rsidP="00DD009C">
      <w:pPr>
        <w:pStyle w:val="ListParagraph"/>
        <w:spacing w:line="360" w:lineRule="auto"/>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rsidR="00DD009C" w:rsidRPr="00583938" w:rsidRDefault="00DD009C" w:rsidP="0044454A">
      <w:pPr>
        <w:pStyle w:val="ListParagraph"/>
        <w:contextualSpacing/>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rsidR="000E2CE9" w:rsidRDefault="000E2CE9">
      <w:pPr>
        <w:rPr>
          <w:rFonts w:ascii="Bookman Old Style" w:eastAsia="Arial" w:hAnsi="Bookman Old Style"/>
          <w:b/>
          <w:bCs/>
          <w:sz w:val="20"/>
        </w:rPr>
      </w:pPr>
      <w:r>
        <w:rPr>
          <w:rFonts w:ascii="Bookman Old Style" w:eastAsia="Arial" w:hAnsi="Bookman Old Style"/>
          <w:b/>
          <w:bCs/>
          <w:sz w:val="20"/>
        </w:rPr>
        <w:br w:type="page"/>
      </w: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rsidR="00DD009C" w:rsidRPr="00583938" w:rsidRDefault="00DD009C" w:rsidP="00DD009C">
      <w:pPr>
        <w:spacing w:line="275" w:lineRule="auto"/>
        <w:jc w:val="center"/>
        <w:rPr>
          <w:rFonts w:ascii="Bookman Old Style" w:eastAsia="Arial" w:hAnsi="Bookman Old Style"/>
          <w:b/>
          <w:bCs/>
          <w:sz w:val="20"/>
        </w:rPr>
      </w:pP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rsidR="00770A3D" w:rsidRPr="00E65A82" w:rsidRDefault="00DD009C" w:rsidP="00E65A82">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sz w:val="20"/>
        </w:rPr>
        <w:t>The site is l</w:t>
      </w:r>
      <w:r w:rsidR="00353354" w:rsidRPr="00583938">
        <w:rPr>
          <w:rFonts w:ascii="Bookman Old Style" w:eastAsia="Arial" w:hAnsi="Bookman Old Style"/>
          <w:sz w:val="20"/>
        </w:rPr>
        <w:t xml:space="preserve">ocated at Central Bank of India, </w:t>
      </w:r>
      <w:r w:rsidR="00770A3D">
        <w:rPr>
          <w:rFonts w:ascii="Bookman Old Style" w:eastAsia="Arial Unicode MS" w:hAnsi="Bookman Old Style" w:cs="Arial Unicode MS"/>
          <w:color w:val="000000"/>
          <w:sz w:val="20"/>
        </w:rPr>
        <w:t>New Chandigarh branch,</w:t>
      </w:r>
      <w:r w:rsidR="00E65A82">
        <w:rPr>
          <w:rFonts w:ascii="Bookman Old Style" w:eastAsia="Arial Unicode MS" w:hAnsi="Bookman Old Style" w:cs="Arial Unicode MS"/>
          <w:color w:val="000000"/>
          <w:sz w:val="20"/>
        </w:rPr>
        <w:t xml:space="preserve"> SCO 55</w:t>
      </w:r>
      <w:proofErr w:type="gramStart"/>
      <w:r w:rsidR="00E65A82">
        <w:rPr>
          <w:rFonts w:ascii="Bookman Old Style" w:eastAsia="Arial Unicode MS" w:hAnsi="Bookman Old Style" w:cs="Arial Unicode MS"/>
          <w:color w:val="000000"/>
          <w:sz w:val="20"/>
        </w:rPr>
        <w:t xml:space="preserve">, </w:t>
      </w:r>
      <w:r w:rsidR="00770A3D">
        <w:rPr>
          <w:rFonts w:ascii="Bookman Old Style" w:eastAsia="Arial Unicode MS" w:hAnsi="Bookman Old Style" w:cs="Arial Unicode MS"/>
          <w:color w:val="000000"/>
          <w:sz w:val="20"/>
        </w:rPr>
        <w:t xml:space="preserve"> </w:t>
      </w:r>
      <w:proofErr w:type="spellStart"/>
      <w:r w:rsidR="00770A3D">
        <w:rPr>
          <w:rFonts w:ascii="Bookman Old Style" w:eastAsia="Arial Unicode MS" w:hAnsi="Bookman Old Style" w:cs="Arial Unicode MS"/>
          <w:color w:val="000000"/>
          <w:sz w:val="20"/>
        </w:rPr>
        <w:t>Clockton</w:t>
      </w:r>
      <w:proofErr w:type="spellEnd"/>
      <w:proofErr w:type="gramEnd"/>
      <w:r w:rsidR="00770A3D">
        <w:rPr>
          <w:rFonts w:ascii="Bookman Old Style" w:eastAsia="Arial Unicode MS" w:hAnsi="Bookman Old Style" w:cs="Arial Unicode MS"/>
          <w:color w:val="000000"/>
          <w:sz w:val="20"/>
        </w:rPr>
        <w:t xml:space="preserve"> High Street, </w:t>
      </w:r>
      <w:proofErr w:type="spellStart"/>
      <w:r w:rsidR="00770A3D">
        <w:rPr>
          <w:rFonts w:ascii="Bookman Old Style" w:eastAsia="Arial Unicode MS" w:hAnsi="Bookman Old Style" w:cs="Arial Unicode MS"/>
          <w:color w:val="000000"/>
          <w:sz w:val="20"/>
        </w:rPr>
        <w:t>Omaxe</w:t>
      </w:r>
      <w:proofErr w:type="spellEnd"/>
      <w:r w:rsidR="00770A3D">
        <w:rPr>
          <w:rFonts w:ascii="Bookman Old Style" w:eastAsia="Arial Unicode MS" w:hAnsi="Bookman Old Style" w:cs="Arial Unicode MS"/>
          <w:color w:val="000000"/>
          <w:sz w:val="20"/>
        </w:rPr>
        <w:t xml:space="preserve"> City, Phase I</w:t>
      </w:r>
    </w:p>
    <w:p w:rsidR="00353354" w:rsidRPr="00583938" w:rsidRDefault="003533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Tenderers must get acquainted with scope of work (as per </w:t>
      </w:r>
      <w:proofErr w:type="spellStart"/>
      <w:proofErr w:type="gramStart"/>
      <w:r w:rsidRPr="00583938">
        <w:rPr>
          <w:rFonts w:ascii="Bookman Old Style" w:eastAsia="Arial" w:hAnsi="Bookman Old Style"/>
          <w:sz w:val="20"/>
        </w:rPr>
        <w:t>BoQ</w:t>
      </w:r>
      <w:proofErr w:type="spellEnd"/>
      <w:proofErr w:type="gramEnd"/>
      <w:r w:rsidRPr="00583938">
        <w:rPr>
          <w:rFonts w:ascii="Bookman Old Style" w:eastAsia="Arial" w:hAnsi="Bookman Old Style"/>
          <w:sz w:val="20"/>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The Tender comprising two separate sealed envelopes comprising Technical &amp; Price bids respectively are to be kept in a large single sealed envelope.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w:t>
      </w:r>
      <w:r w:rsidRPr="00583938">
        <w:rPr>
          <w:rFonts w:ascii="Bookman Old Style" w:eastAsia="Arial" w:hAnsi="Bookman Old Style"/>
          <w:sz w:val="20"/>
        </w:rPr>
        <w:lastRenderedPageBreak/>
        <w:t xml:space="preserve">signed by an authorized representative, and a power of Attorney on their behalf shall accompany the tender in Envelope. A copy of the partnership deed of the firm with names of all partners shall be furnished. </w:t>
      </w:r>
    </w:p>
    <w:p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sidRPr="00583938">
        <w:rPr>
          <w:rFonts w:ascii="Bookman Old Style" w:eastAsia="Arial" w:hAnsi="Bookman Old Style"/>
          <w:color w:val="000000"/>
          <w:sz w:val="20"/>
        </w:rPr>
        <w:t>Octroi</w:t>
      </w:r>
      <w:proofErr w:type="spellEnd"/>
      <w:r w:rsidRPr="00583938">
        <w:rPr>
          <w:rFonts w:ascii="Bookman Old Style" w:eastAsia="Arial" w:hAnsi="Bookman Old Style"/>
          <w:color w:val="000000"/>
          <w:sz w:val="20"/>
        </w:rPr>
        <w:t>, sales tax, VAT, excise duty, PF, ESI but excluding GST.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rsidR="001E08E9" w:rsidRPr="00583938" w:rsidRDefault="00DD009C" w:rsidP="001E08E9">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t>
      </w:r>
    </w:p>
    <w:p w:rsidR="001E08E9"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Witness and sureties shall be persons of status and propriety and their names, occupation and address shall be stated below their signatures.</w:t>
      </w:r>
    </w:p>
    <w:p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rsidR="00DD009C" w:rsidRPr="00583938"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lastRenderedPageBreak/>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bill). </w:t>
      </w:r>
    </w:p>
    <w:p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w:t>
      </w:r>
      <w:proofErr w:type="gramStart"/>
      <w:r w:rsidRPr="00583938">
        <w:rPr>
          <w:rFonts w:ascii="Bookman Old Style" w:eastAsia="Arial" w:hAnsi="Bookman Old Style"/>
          <w:sz w:val="20"/>
        </w:rPr>
        <w:t>themselves</w:t>
      </w:r>
      <w:proofErr w:type="gramEnd"/>
      <w:r w:rsidRPr="00583938">
        <w:rPr>
          <w:rFonts w:ascii="Bookman Old Style" w:eastAsia="Arial" w:hAnsi="Bookman Old Style"/>
          <w:sz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w:t>
      </w:r>
      <w:r w:rsidRPr="00583938">
        <w:rPr>
          <w:rFonts w:ascii="Bookman Old Style" w:eastAsia="Arial" w:hAnsi="Bookman Old Style"/>
          <w:sz w:val="20"/>
        </w:rPr>
        <w:lastRenderedPageBreak/>
        <w:t xml:space="preserve">completion. The decision of Bank in this regard shall be final &amp; binding. The maximum liquidated damages recoverable shall be 5% of accepted tender amount. </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rsidR="005E324A" w:rsidRPr="00583938" w:rsidRDefault="005E324A" w:rsidP="005E324A">
      <w:pPr>
        <w:spacing w:after="0"/>
        <w:ind w:left="720"/>
        <w:jc w:val="both"/>
        <w:rPr>
          <w:rFonts w:ascii="Bookman Old Style" w:eastAsia="Arial" w:hAnsi="Bookman Old Style"/>
          <w:sz w:val="20"/>
        </w:rPr>
      </w:pPr>
    </w:p>
    <w:p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rsidR="00DD009C" w:rsidRPr="00583938" w:rsidRDefault="00DD009C" w:rsidP="00DD009C">
      <w:pPr>
        <w:pStyle w:val="Default"/>
        <w:ind w:left="720" w:hanging="720"/>
        <w:jc w:val="both"/>
        <w:rPr>
          <w:rFonts w:ascii="Bookman Old Style" w:hAnsi="Bookman Old Style"/>
          <w:sz w:val="20"/>
          <w:szCs w:val="20"/>
        </w:rPr>
      </w:pPr>
    </w:p>
    <w:p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rsidTr="002A4740">
        <w:trPr>
          <w:cantSplit/>
          <w:trHeight w:val="630"/>
          <w:jc w:val="center"/>
        </w:trPr>
        <w:tc>
          <w:tcPr>
            <w:tcW w:w="648" w:type="dxa"/>
            <w:vMerge w:val="restart"/>
          </w:tcPr>
          <w:p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rsidTr="002A4740">
        <w:trPr>
          <w:cantSplit/>
          <w:trHeight w:val="360"/>
          <w:jc w:val="center"/>
        </w:trPr>
        <w:tc>
          <w:tcPr>
            <w:tcW w:w="648" w:type="dxa"/>
            <w:vMerge/>
          </w:tcPr>
          <w:p w:rsidR="00DD009C" w:rsidRPr="00583938" w:rsidRDefault="00DD009C" w:rsidP="002A4740">
            <w:pPr>
              <w:jc w:val="center"/>
              <w:rPr>
                <w:rFonts w:ascii="Bookman Old Style" w:hAnsi="Bookman Old Style"/>
                <w:sz w:val="20"/>
              </w:rPr>
            </w:pPr>
          </w:p>
        </w:tc>
        <w:tc>
          <w:tcPr>
            <w:tcW w:w="2610" w:type="dxa"/>
            <w:vMerge/>
          </w:tcPr>
          <w:p w:rsidR="00DD009C" w:rsidRPr="00583938" w:rsidRDefault="00DD009C" w:rsidP="002A4740">
            <w:pPr>
              <w:jc w:val="center"/>
              <w:rPr>
                <w:rFonts w:ascii="Bookman Old Style" w:hAnsi="Bookman Old Style"/>
                <w:sz w:val="20"/>
              </w:rPr>
            </w:pPr>
          </w:p>
        </w:tc>
        <w:tc>
          <w:tcPr>
            <w:tcW w:w="3060" w:type="dxa"/>
            <w:vMerge/>
          </w:tcPr>
          <w:p w:rsidR="00DD009C" w:rsidRPr="00583938" w:rsidRDefault="00DD009C" w:rsidP="002A4740">
            <w:pPr>
              <w:jc w:val="center"/>
              <w:rPr>
                <w:rFonts w:ascii="Bookman Old Style" w:hAnsi="Bookman Old Style"/>
                <w:sz w:val="20"/>
              </w:rPr>
            </w:pPr>
          </w:p>
        </w:tc>
        <w:tc>
          <w:tcPr>
            <w:tcW w:w="2464" w:type="dxa"/>
            <w:vMerge/>
          </w:tcPr>
          <w:p w:rsidR="00DD009C" w:rsidRPr="00583938" w:rsidRDefault="00DD009C" w:rsidP="002A4740">
            <w:pPr>
              <w:jc w:val="center"/>
              <w:rPr>
                <w:rFonts w:ascii="Bookman Old Style" w:hAnsi="Bookman Old Style"/>
                <w:sz w:val="20"/>
              </w:rPr>
            </w:pPr>
          </w:p>
        </w:tc>
        <w:tc>
          <w:tcPr>
            <w:tcW w:w="1654"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p w:rsidR="00DD009C" w:rsidRPr="00583938" w:rsidRDefault="00DD009C" w:rsidP="00734400">
            <w:pPr>
              <w:rPr>
                <w:rFonts w:ascii="Bookman Old Style" w:hAnsi="Bookman Old Style"/>
                <w:sz w:val="20"/>
              </w:rPr>
            </w:pP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773"/>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980"/>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bl>
    <w:p w:rsidR="00DD009C" w:rsidRPr="00583938" w:rsidRDefault="00DD009C" w:rsidP="00DD009C">
      <w:pPr>
        <w:rPr>
          <w:rFonts w:ascii="Bookman Old Style" w:hAnsi="Bookman Old Style"/>
          <w:sz w:val="20"/>
        </w:rPr>
      </w:pPr>
    </w:p>
    <w:p w:rsidR="002A4740" w:rsidRPr="00583938" w:rsidRDefault="002A4740" w:rsidP="00DD009C">
      <w:pPr>
        <w:rPr>
          <w:rFonts w:ascii="Bookman Old Style" w:hAnsi="Bookman Old Style"/>
          <w:sz w:val="20"/>
        </w:rPr>
      </w:pPr>
    </w:p>
    <w:p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rsidTr="00FD659F">
        <w:trPr>
          <w:cantSplit/>
          <w:trHeight w:val="782"/>
          <w:jc w:val="center"/>
        </w:trPr>
        <w:tc>
          <w:tcPr>
            <w:tcW w:w="648" w:type="dxa"/>
            <w:vMerge w:val="restart"/>
          </w:tcPr>
          <w:p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279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4950" w:type="dxa"/>
            <w:gridSpan w:val="2"/>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rsidTr="00FD659F">
        <w:trPr>
          <w:cantSplit/>
          <w:trHeight w:val="251"/>
          <w:jc w:val="center"/>
        </w:trPr>
        <w:tc>
          <w:tcPr>
            <w:tcW w:w="648" w:type="dxa"/>
            <w:vMerge/>
          </w:tcPr>
          <w:p w:rsidR="00DD009C" w:rsidRPr="00583938" w:rsidRDefault="00DD009C" w:rsidP="002A4740">
            <w:pPr>
              <w:spacing w:after="0"/>
              <w:jc w:val="center"/>
              <w:rPr>
                <w:rFonts w:ascii="Bookman Old Style" w:hAnsi="Bookman Old Style"/>
                <w:sz w:val="20"/>
              </w:rPr>
            </w:pPr>
          </w:p>
        </w:tc>
        <w:tc>
          <w:tcPr>
            <w:tcW w:w="2070" w:type="dxa"/>
            <w:vMerge/>
          </w:tcPr>
          <w:p w:rsidR="00DD009C" w:rsidRPr="00583938" w:rsidRDefault="00DD009C" w:rsidP="002A4740">
            <w:pPr>
              <w:spacing w:after="0"/>
              <w:jc w:val="center"/>
              <w:rPr>
                <w:rFonts w:ascii="Bookman Old Style" w:hAnsi="Bookman Old Style"/>
                <w:sz w:val="20"/>
              </w:rPr>
            </w:pPr>
          </w:p>
        </w:tc>
        <w:tc>
          <w:tcPr>
            <w:tcW w:w="2235" w:type="dxa"/>
            <w:vMerge/>
          </w:tcPr>
          <w:p w:rsidR="00DD009C" w:rsidRPr="00583938" w:rsidRDefault="00DD009C" w:rsidP="002A4740">
            <w:pPr>
              <w:spacing w:after="0"/>
              <w:jc w:val="center"/>
              <w:rPr>
                <w:rFonts w:ascii="Bookman Old Style" w:hAnsi="Bookman Old Style"/>
                <w:sz w:val="20"/>
              </w:rPr>
            </w:pPr>
          </w:p>
        </w:tc>
        <w:tc>
          <w:tcPr>
            <w:tcW w:w="2790" w:type="dxa"/>
            <w:vMerge/>
          </w:tcPr>
          <w:p w:rsidR="00DD009C" w:rsidRPr="00583938" w:rsidRDefault="00DD009C" w:rsidP="002A4740">
            <w:pPr>
              <w:spacing w:after="0"/>
              <w:jc w:val="center"/>
              <w:rPr>
                <w:rFonts w:ascii="Bookman Old Style" w:hAnsi="Bookman Old Style"/>
                <w:sz w:val="20"/>
              </w:rPr>
            </w:pPr>
          </w:p>
        </w:tc>
        <w:tc>
          <w:tcPr>
            <w:tcW w:w="2520" w:type="dxa"/>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rsidTr="00FD659F">
        <w:trPr>
          <w:trHeight w:val="467"/>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2018 – 2019</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2019 – 2020</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2020 – 2021</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2021 – 2022</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trHeight w:val="548"/>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5</w:t>
            </w:r>
          </w:p>
          <w:p w:rsidR="00DD009C" w:rsidRPr="00583938" w:rsidRDefault="00DD009C" w:rsidP="00734400">
            <w:pPr>
              <w:rPr>
                <w:rFonts w:ascii="Bookman Old Style" w:hAnsi="Bookman Old Style"/>
                <w:sz w:val="20"/>
              </w:rPr>
            </w:pP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2022 – 2023</w:t>
            </w:r>
          </w:p>
          <w:p w:rsidR="00DD009C" w:rsidRPr="00583938" w:rsidRDefault="00DD009C" w:rsidP="00734400">
            <w:pPr>
              <w:rPr>
                <w:rFonts w:ascii="Bookman Old Style" w:hAnsi="Bookman Old Style"/>
                <w:sz w:val="20"/>
              </w:rPr>
            </w:pPr>
          </w:p>
        </w:tc>
        <w:tc>
          <w:tcPr>
            <w:tcW w:w="2235" w:type="dxa"/>
          </w:tcPr>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bl>
    <w:p w:rsidR="00DD009C" w:rsidRPr="00583938" w:rsidRDefault="00DD009C" w:rsidP="00DD009C">
      <w:pPr>
        <w:jc w:val="right"/>
        <w:rPr>
          <w:rFonts w:ascii="Bookman Old Style" w:hAnsi="Bookman Old Style"/>
          <w:sz w:val="20"/>
        </w:rPr>
      </w:pPr>
    </w:p>
    <w:p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rsidTr="00C73E38">
        <w:trPr>
          <w:trHeight w:val="755"/>
          <w:jc w:val="center"/>
        </w:trPr>
        <w:tc>
          <w:tcPr>
            <w:tcW w:w="73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rsidTr="00C73E38">
        <w:trPr>
          <w:trHeight w:val="719"/>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rsidR="00FD659F" w:rsidRPr="00583938" w:rsidRDefault="00FD659F"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71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2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5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bl>
    <w:p w:rsidR="00C73E38" w:rsidRPr="00583938" w:rsidRDefault="00C73E38" w:rsidP="00C73E38">
      <w:pPr>
        <w:spacing w:line="36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rsidR="00C73E38" w:rsidRPr="00583938" w:rsidRDefault="00C73E38" w:rsidP="00C73E38">
      <w:pPr>
        <w:spacing w:after="0" w:line="240" w:lineRule="auto"/>
        <w:ind w:left="720" w:hanging="720"/>
        <w:jc w:val="both"/>
        <w:rPr>
          <w:rFonts w:ascii="Bookman Old Style" w:hAnsi="Bookman Old Style"/>
          <w:sz w:val="20"/>
        </w:rPr>
      </w:pPr>
    </w:p>
    <w:p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rsidR="00C73E38" w:rsidRPr="00583938" w:rsidRDefault="00C73E38" w:rsidP="00DD009C">
      <w:pPr>
        <w:jc w:val="center"/>
        <w:rPr>
          <w:rFonts w:ascii="Bookman Old Style" w:hAnsi="Bookman Old Style"/>
          <w:sz w:val="20"/>
        </w:rPr>
      </w:pPr>
    </w:p>
    <w:p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rsidR="00C73E38" w:rsidRPr="00583938" w:rsidRDefault="00C73E38" w:rsidP="00C73E38">
      <w:pPr>
        <w:spacing w:after="0" w:line="240" w:lineRule="auto"/>
        <w:jc w:val="center"/>
        <w:rPr>
          <w:rFonts w:ascii="Bookman Old Style" w:hAnsi="Bookman Old Style"/>
          <w:b/>
          <w:bCs/>
          <w:sz w:val="20"/>
        </w:rPr>
      </w:pPr>
    </w:p>
    <w:p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rsidTr="002A4740">
        <w:trPr>
          <w:jc w:val="center"/>
        </w:trPr>
        <w:tc>
          <w:tcPr>
            <w:tcW w:w="532"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rsidTr="00C73E38">
        <w:trPr>
          <w:trHeight w:val="20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bl>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ind w:left="6480" w:firstLine="720"/>
        <w:rPr>
          <w:rFonts w:ascii="Bookman Old Style" w:hAnsi="Bookman Old Style"/>
          <w:sz w:val="20"/>
        </w:rPr>
      </w:pPr>
    </w:p>
    <w:p w:rsidR="00C73E38" w:rsidRPr="00583938" w:rsidRDefault="00C73E38" w:rsidP="00C73E38">
      <w:pPr>
        <w:spacing w:after="0" w:line="240" w:lineRule="auto"/>
        <w:ind w:left="6480" w:firstLine="720"/>
        <w:rPr>
          <w:rFonts w:ascii="Bookman Old Style" w:hAnsi="Bookman Old Style"/>
          <w:sz w:val="20"/>
        </w:rPr>
      </w:pPr>
    </w:p>
    <w:p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rsidR="00C73E38" w:rsidRPr="00583938" w:rsidRDefault="00C73E38" w:rsidP="00C73E38">
      <w:pPr>
        <w:spacing w:after="0" w:line="240" w:lineRule="auto"/>
        <w:rPr>
          <w:rFonts w:ascii="Bookman Old Style" w:hAnsi="Bookman Old Style"/>
          <w:sz w:val="20"/>
        </w:rPr>
      </w:pPr>
    </w:p>
    <w:p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rsidR="00DD009C" w:rsidRPr="00583938" w:rsidRDefault="00DD009C" w:rsidP="00C73E38">
      <w:pPr>
        <w:spacing w:after="0" w:line="240" w:lineRule="auto"/>
        <w:jc w:val="both"/>
        <w:rPr>
          <w:rFonts w:ascii="Bookman Old Style" w:hAnsi="Bookman Old Style"/>
          <w:sz w:val="20"/>
        </w:rPr>
      </w:pPr>
    </w:p>
    <w:p w:rsidR="00D4312C" w:rsidRPr="00583938" w:rsidRDefault="00D4312C" w:rsidP="00DD009C">
      <w:pPr>
        <w:jc w:val="right"/>
        <w:rPr>
          <w:rFonts w:ascii="Bookman Old Style" w:hAnsi="Bookman Old Style"/>
          <w:sz w:val="20"/>
        </w:rPr>
      </w:pPr>
    </w:p>
    <w:p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“Jindal/Nalco/</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 xml:space="preserve">TATA, Jindal, </w:t>
            </w:r>
            <w:proofErr w:type="spellStart"/>
            <w:r w:rsidRPr="00583938">
              <w:rPr>
                <w:rFonts w:ascii="Verdana" w:eastAsia="Times New Roman" w:hAnsi="Verdana" w:cs="Times New Roman"/>
                <w:b/>
                <w:bCs/>
                <w:sz w:val="20"/>
                <w:lang w:eastAsia="en-IN"/>
              </w:rPr>
              <w:t>Rathi</w:t>
            </w:r>
            <w:proofErr w:type="spellEnd"/>
            <w:r w:rsidRPr="00583938">
              <w:rPr>
                <w:rFonts w:ascii="Verdana" w:eastAsia="Times New Roman" w:hAnsi="Verdana" w:cs="Times New Roman"/>
                <w:b/>
                <w:bCs/>
                <w:sz w:val="20"/>
                <w:lang w:eastAsia="en-IN"/>
              </w:rPr>
              <w:t xml:space="preserve"> SAIL, RINL”</w:t>
            </w:r>
          </w:p>
        </w:tc>
      </w:tr>
      <w:tr w:rsidR="00D4312C" w:rsidRPr="00583938"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L&amp;T,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Crompton, Orient, </w:t>
            </w:r>
            <w:proofErr w:type="spellStart"/>
            <w:r w:rsidRPr="00583938">
              <w:rPr>
                <w:rFonts w:ascii="Verdana" w:eastAsia="Times New Roman" w:hAnsi="Verdana" w:cs="Times New Roman"/>
                <w:b/>
                <w:bCs/>
                <w:sz w:val="20"/>
                <w:lang w:eastAsia="en-IN"/>
              </w:rPr>
              <w:t>Usha</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AKG, </w:t>
            </w:r>
            <w:proofErr w:type="spellStart"/>
            <w:r w:rsidRPr="00583938">
              <w:rPr>
                <w:rFonts w:ascii="Verdana" w:eastAsia="Times New Roman" w:hAnsi="Verdana" w:cs="Times New Roman"/>
                <w:b/>
                <w:bCs/>
                <w:sz w:val="20"/>
                <w:lang w:eastAsia="en-IN"/>
              </w:rPr>
              <w:t>Setia</w:t>
            </w:r>
            <w:proofErr w:type="spellEnd"/>
            <w:r w:rsidRPr="00583938">
              <w:rPr>
                <w:rFonts w:ascii="Verdana" w:eastAsia="Times New Roman" w:hAnsi="Verdana" w:cs="Times New Roman"/>
                <w:b/>
                <w:bCs/>
                <w:sz w:val="20"/>
                <w:lang w:eastAsia="en-IN"/>
              </w:rPr>
              <w:t>,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w:t>
            </w:r>
            <w:proofErr w:type="spellStart"/>
            <w:r w:rsidRPr="00583938">
              <w:rPr>
                <w:rFonts w:ascii="Verdana" w:eastAsia="Times New Roman" w:hAnsi="Verdana" w:cs="Times New Roman"/>
                <w:b/>
                <w:bCs/>
                <w:sz w:val="20"/>
                <w:lang w:eastAsia="en-IN"/>
              </w:rPr>
              <w:t>Osram</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MDS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Havells</w:t>
            </w:r>
            <w:proofErr w:type="spellEnd"/>
            <w:r w:rsidRPr="00583938">
              <w:rPr>
                <w:rFonts w:ascii="Verdana" w:eastAsia="Times New Roman" w:hAnsi="Verdana" w:cs="Times New Roman"/>
                <w:b/>
                <w:bCs/>
                <w:sz w:val="20"/>
                <w:lang w:eastAsia="en-IN"/>
              </w:rPr>
              <w:t xml:space="preserve">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CF9" w:rsidRDefault="00985CF9" w:rsidP="00DD009C">
      <w:pPr>
        <w:spacing w:after="0" w:line="240" w:lineRule="auto"/>
      </w:pPr>
      <w:r>
        <w:separator/>
      </w:r>
    </w:p>
  </w:endnote>
  <w:endnote w:type="continuationSeparator" w:id="0">
    <w:p w:rsidR="00985CF9" w:rsidRDefault="00985CF9"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Content>
      <w:sdt>
        <w:sdtPr>
          <w:id w:val="860082579"/>
          <w:docPartObj>
            <w:docPartGallery w:val="Page Numbers (Top of Page)"/>
            <w:docPartUnique/>
          </w:docPartObj>
        </w:sdtPr>
        <w:sdtContent>
          <w:p w:rsidR="002C5D2C" w:rsidRDefault="002C5D2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0143E">
              <w:rPr>
                <w:b/>
                <w:bCs/>
                <w:noProof/>
              </w:rPr>
              <w:t>23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0143E">
              <w:rPr>
                <w:b/>
                <w:bCs/>
                <w:noProof/>
              </w:rPr>
              <w:t>23</w:t>
            </w:r>
            <w:r>
              <w:rPr>
                <w:b/>
                <w:bCs/>
                <w:sz w:val="24"/>
                <w:szCs w:val="24"/>
              </w:rPr>
              <w:fldChar w:fldCharType="end"/>
            </w:r>
          </w:p>
        </w:sdtContent>
      </w:sdt>
    </w:sdtContent>
  </w:sdt>
  <w:p w:rsidR="002C5D2C" w:rsidRDefault="002C5D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CF9" w:rsidRDefault="00985CF9" w:rsidP="00DD009C">
      <w:pPr>
        <w:spacing w:after="0" w:line="240" w:lineRule="auto"/>
      </w:pPr>
      <w:r>
        <w:separator/>
      </w:r>
    </w:p>
  </w:footnote>
  <w:footnote w:type="continuationSeparator" w:id="0">
    <w:p w:rsidR="00985CF9" w:rsidRDefault="00985CF9"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D2C" w:rsidRDefault="002C5D2C">
    <w:pPr>
      <w:pStyle w:val="Header"/>
      <w:jc w:val="right"/>
    </w:pPr>
  </w:p>
  <w:p w:rsidR="002C5D2C" w:rsidRDefault="002C5D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B4C1F"/>
    <w:rsid w:val="000D15EC"/>
    <w:rsid w:val="000E2CE9"/>
    <w:rsid w:val="0010710D"/>
    <w:rsid w:val="00131174"/>
    <w:rsid w:val="001360DA"/>
    <w:rsid w:val="001947DE"/>
    <w:rsid w:val="001B4B18"/>
    <w:rsid w:val="001C50B2"/>
    <w:rsid w:val="001E08E9"/>
    <w:rsid w:val="00204B05"/>
    <w:rsid w:val="00223BA7"/>
    <w:rsid w:val="0025127B"/>
    <w:rsid w:val="0028158D"/>
    <w:rsid w:val="0028590C"/>
    <w:rsid w:val="002A2B33"/>
    <w:rsid w:val="002A4740"/>
    <w:rsid w:val="002C5D2C"/>
    <w:rsid w:val="0033530C"/>
    <w:rsid w:val="003500B6"/>
    <w:rsid w:val="00353354"/>
    <w:rsid w:val="00367C0E"/>
    <w:rsid w:val="00380556"/>
    <w:rsid w:val="00382263"/>
    <w:rsid w:val="00386E2A"/>
    <w:rsid w:val="003A3CF3"/>
    <w:rsid w:val="00415BE9"/>
    <w:rsid w:val="0044454A"/>
    <w:rsid w:val="00454452"/>
    <w:rsid w:val="0047553A"/>
    <w:rsid w:val="004C0B9E"/>
    <w:rsid w:val="004C0EF8"/>
    <w:rsid w:val="004D5048"/>
    <w:rsid w:val="0050143E"/>
    <w:rsid w:val="005029E8"/>
    <w:rsid w:val="0050671E"/>
    <w:rsid w:val="00546BEE"/>
    <w:rsid w:val="005603BF"/>
    <w:rsid w:val="00583938"/>
    <w:rsid w:val="005A5DD4"/>
    <w:rsid w:val="005E324A"/>
    <w:rsid w:val="005E78E9"/>
    <w:rsid w:val="006E534E"/>
    <w:rsid w:val="00734400"/>
    <w:rsid w:val="00734500"/>
    <w:rsid w:val="00770A3D"/>
    <w:rsid w:val="00781DC2"/>
    <w:rsid w:val="007A313C"/>
    <w:rsid w:val="008625EC"/>
    <w:rsid w:val="008A5E30"/>
    <w:rsid w:val="008C5C72"/>
    <w:rsid w:val="008E4A2F"/>
    <w:rsid w:val="0092766D"/>
    <w:rsid w:val="00985CF9"/>
    <w:rsid w:val="009D4E32"/>
    <w:rsid w:val="00A07207"/>
    <w:rsid w:val="00A21479"/>
    <w:rsid w:val="00AF78FF"/>
    <w:rsid w:val="00B376EE"/>
    <w:rsid w:val="00B51F6A"/>
    <w:rsid w:val="00BF27D7"/>
    <w:rsid w:val="00BF4300"/>
    <w:rsid w:val="00C01750"/>
    <w:rsid w:val="00C548B8"/>
    <w:rsid w:val="00C73E38"/>
    <w:rsid w:val="00C80CC5"/>
    <w:rsid w:val="00CA151F"/>
    <w:rsid w:val="00D4312C"/>
    <w:rsid w:val="00D5773E"/>
    <w:rsid w:val="00D809D2"/>
    <w:rsid w:val="00D80AEC"/>
    <w:rsid w:val="00DB0ED4"/>
    <w:rsid w:val="00DD009C"/>
    <w:rsid w:val="00DD2356"/>
    <w:rsid w:val="00DE777C"/>
    <w:rsid w:val="00E42AA0"/>
    <w:rsid w:val="00E5600A"/>
    <w:rsid w:val="00E65A82"/>
    <w:rsid w:val="00E80450"/>
    <w:rsid w:val="00EB38F4"/>
    <w:rsid w:val="00ED7090"/>
    <w:rsid w:val="00F470FD"/>
    <w:rsid w:val="00F85744"/>
    <w:rsid w:val="00FD65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chan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159B-5F6A-4CFA-AD6A-A52AC598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23</Pages>
  <Words>5760</Words>
  <Characters>32837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PRIYANKA JASWAL</cp:lastModifiedBy>
  <cp:revision>16</cp:revision>
  <cp:lastPrinted>2023-12-07T07:58:00Z</cp:lastPrinted>
  <dcterms:created xsi:type="dcterms:W3CDTF">2023-12-07T06:52:00Z</dcterms:created>
  <dcterms:modified xsi:type="dcterms:W3CDTF">2023-12-07T08:27:00Z</dcterms:modified>
</cp:coreProperties>
</file>