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rPr>
        <w:t xml:space="preserve">Proposed Interior, Electrical and allied repair works at </w:t>
      </w:r>
      <w:r w:rsidR="00D54926">
        <w:rPr>
          <w:rFonts w:ascii="Nirmala UI" w:eastAsia="Arial" w:hAnsi="Nirmala UI" w:cs="Nirmala UI"/>
        </w:rPr>
        <w:t>Selaiyur (Tambaram)</w:t>
      </w:r>
      <w:r w:rsidR="00106FD3" w:rsidRPr="00FB675D">
        <w:rPr>
          <w:rFonts w:ascii="Nirmala UI" w:eastAsia="Arial" w:hAnsi="Nirmala UI" w:cs="Nirmala UI"/>
        </w:rPr>
        <w:t xml:space="preserve"> Branch – </w:t>
      </w:r>
      <w:r w:rsidR="007A653E" w:rsidRPr="007A653E">
        <w:rPr>
          <w:rFonts w:ascii="Nirmala UI" w:eastAsia="Arial" w:hAnsi="Nirmala UI" w:cs="Nirmala UI"/>
        </w:rPr>
        <w:t xml:space="preserve">No. 1, </w:t>
      </w:r>
      <w:proofErr w:type="spellStart"/>
      <w:r w:rsidR="007A653E" w:rsidRPr="007A653E">
        <w:rPr>
          <w:rFonts w:ascii="Nirmala UI" w:eastAsia="Arial" w:hAnsi="Nirmala UI" w:cs="Nirmala UI"/>
        </w:rPr>
        <w:t>Guruswamy</w:t>
      </w:r>
      <w:proofErr w:type="spellEnd"/>
      <w:r w:rsidR="007A653E" w:rsidRPr="007A653E">
        <w:rPr>
          <w:rFonts w:ascii="Nirmala UI" w:eastAsia="Arial" w:hAnsi="Nirmala UI" w:cs="Nirmala UI"/>
        </w:rPr>
        <w:t xml:space="preserve"> Nagar Main Road, </w:t>
      </w:r>
      <w:proofErr w:type="spellStart"/>
      <w:r w:rsidR="007A653E" w:rsidRPr="007A653E">
        <w:rPr>
          <w:rFonts w:ascii="Nirmala UI" w:eastAsia="Arial" w:hAnsi="Nirmala UI" w:cs="Nirmala UI"/>
        </w:rPr>
        <w:t>Sembakkam</w:t>
      </w:r>
      <w:proofErr w:type="spellEnd"/>
      <w:r w:rsidR="007A653E" w:rsidRPr="007A653E">
        <w:rPr>
          <w:rFonts w:ascii="Nirmala UI" w:eastAsia="Arial" w:hAnsi="Nirmala UI" w:cs="Nirmala UI"/>
        </w:rPr>
        <w:t>, Chennai 600073</w:t>
      </w:r>
      <w:r w:rsidRPr="00FB675D">
        <w:rPr>
          <w:rFonts w:ascii="Nirmala UI" w:eastAsia="Arial" w:hAnsi="Nirmala UI" w:cs="Nirmala UI"/>
        </w:rPr>
        <w:t>.</w:t>
      </w:r>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2D637E" w:rsidP="00C250F1">
            <w:pPr>
              <w:spacing w:after="0" w:afterAutospacing="0" w:line="120" w:lineRule="atLeast"/>
              <w:ind w:right="-199"/>
              <w:rPr>
                <w:rFonts w:ascii="Nirmala UI" w:eastAsia="Arial" w:hAnsi="Nirmala UI" w:cs="Nirmala UI"/>
                <w:highlight w:val="yellow"/>
              </w:rPr>
            </w:pPr>
            <w:r>
              <w:rPr>
                <w:rFonts w:ascii="Nirmala UI" w:eastAsia="Arial" w:hAnsi="Nirmala UI" w:cs="Nirmala UI"/>
              </w:rPr>
              <w:t>14</w:t>
            </w:r>
            <w:r w:rsidR="00BC041A" w:rsidRPr="00FB675D">
              <w:rPr>
                <w:rFonts w:ascii="Nirmala UI" w:eastAsia="Arial" w:hAnsi="Nirmala UI" w:cs="Nirmala UI"/>
              </w:rPr>
              <w:t>/</w:t>
            </w:r>
            <w:r w:rsidR="00C250F1">
              <w:rPr>
                <w:rFonts w:ascii="Nirmala UI" w:eastAsia="Arial" w:hAnsi="Nirmala UI" w:cs="Nirmala UI"/>
              </w:rPr>
              <w:t>10</w:t>
            </w:r>
            <w:r w:rsidR="00106FD3" w:rsidRPr="00FB675D">
              <w:rPr>
                <w:rFonts w:ascii="Nirmala UI" w:eastAsia="Arial" w:hAnsi="Nirmala UI" w:cs="Nirmala UI"/>
              </w:rPr>
              <w:t>/2023</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2D637E" w:rsidP="002D637E">
            <w:pPr>
              <w:spacing w:after="0" w:afterAutospacing="0" w:line="120" w:lineRule="atLeast"/>
              <w:ind w:right="-199"/>
              <w:rPr>
                <w:rFonts w:ascii="Nirmala UI" w:eastAsia="Arial" w:hAnsi="Nirmala UI" w:cs="Nirmala UI"/>
              </w:rPr>
            </w:pPr>
            <w:r>
              <w:rPr>
                <w:rFonts w:ascii="Nirmala UI" w:eastAsia="Arial" w:hAnsi="Nirmala UI" w:cs="Nirmala UI"/>
              </w:rPr>
              <w:t>06</w:t>
            </w:r>
            <w:r w:rsidR="00BC041A" w:rsidRPr="00FB675D">
              <w:rPr>
                <w:rFonts w:ascii="Nirmala UI" w:eastAsia="Arial" w:hAnsi="Nirmala UI" w:cs="Nirmala UI"/>
              </w:rPr>
              <w:t>/</w:t>
            </w:r>
            <w:r>
              <w:rPr>
                <w:rFonts w:ascii="Nirmala UI" w:eastAsia="Arial" w:hAnsi="Nirmala UI" w:cs="Nirmala UI"/>
              </w:rPr>
              <w:t>11</w:t>
            </w:r>
            <w:r w:rsidR="009D0260">
              <w:rPr>
                <w:rFonts w:ascii="Nirmala UI" w:eastAsia="Arial" w:hAnsi="Nirmala UI" w:cs="Nirmala UI"/>
              </w:rPr>
              <w:t>/2023</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702244" w:rsidP="00702244">
            <w:pPr>
              <w:spacing w:after="0" w:afterAutospacing="0" w:line="120" w:lineRule="atLeast"/>
              <w:ind w:right="-199"/>
              <w:rPr>
                <w:rFonts w:ascii="Nirmala UI" w:eastAsia="Arial" w:hAnsi="Nirmala UI" w:cs="Nirmala UI"/>
                <w:b/>
                <w:bCs/>
              </w:rPr>
            </w:pPr>
            <w:r>
              <w:rPr>
                <w:rFonts w:ascii="Nirmala UI" w:eastAsia="Arial" w:hAnsi="Nirmala UI" w:cs="Nirmala UI" w:hint="cs"/>
                <w:b/>
                <w:bCs/>
                <w:cs/>
                <w:lang w:bidi="hi-IN"/>
              </w:rPr>
              <w:t xml:space="preserve">शुरू होने का दिनांक </w:t>
            </w:r>
            <w:r w:rsidR="00DE0D42"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2D637E">
              <w:rPr>
                <w:rFonts w:ascii="Nirmala UI" w:eastAsia="Arial" w:hAnsi="Nirmala UI" w:cs="Nirmala UI"/>
              </w:rPr>
              <w:t>07</w:t>
            </w:r>
            <w:r w:rsidR="009E3A43" w:rsidRPr="00FB675D">
              <w:rPr>
                <w:rFonts w:ascii="Nirmala UI" w:eastAsia="Arial" w:hAnsi="Nirmala UI" w:cs="Nirmala UI"/>
              </w:rPr>
              <w:t>/</w:t>
            </w:r>
            <w:r w:rsidR="002D637E">
              <w:rPr>
                <w:rFonts w:ascii="Nirmala UI" w:eastAsia="Arial" w:hAnsi="Nirmala UI" w:cs="Nirmala UI"/>
              </w:rPr>
              <w:t>11</w:t>
            </w:r>
            <w:r w:rsidR="00106FD3" w:rsidRPr="00FB675D">
              <w:rPr>
                <w:rFonts w:ascii="Nirmala UI" w:eastAsia="Arial" w:hAnsi="Nirmala UI" w:cs="Nirmala UI"/>
              </w:rPr>
              <w:t>/2023</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106FD3" w:rsidRPr="00FB675D">
              <w:rPr>
                <w:rFonts w:ascii="Nirmala UI" w:hAnsi="Nirmala UI" w:cs="Nirmala UI"/>
              </w:rPr>
              <w:t>Soubhagya Ranjan Sial</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Chief Manager – GAD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945F00" w:rsidRPr="00FB675D">
              <w:rPr>
                <w:rFonts w:ascii="Nirmala UI" w:hAnsi="Nirmala UI" w:cs="Nirmala UI"/>
              </w:rPr>
              <w:t>8939975807</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C250F1">
        <w:rPr>
          <w:rFonts w:ascii="Nirmala UI" w:hAnsi="Nirmala UI" w:cs="Nirmala UI"/>
          <w:b/>
          <w:bCs/>
          <w:sz w:val="22"/>
          <w:szCs w:val="22"/>
          <w:u w:val="single"/>
        </w:rPr>
        <w:t>Selaiyur (Tambaram)</w:t>
      </w:r>
      <w:r w:rsidRPr="00FB675D">
        <w:rPr>
          <w:rFonts w:ascii="Nirmala UI" w:hAnsi="Nirmala UI" w:cs="Nirmala UI"/>
          <w:b/>
          <w:bCs/>
          <w:sz w:val="22"/>
          <w:szCs w:val="22"/>
          <w:u w:val="single"/>
        </w:rPr>
        <w:t xml:space="preserve"> Branch”</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r w:rsidR="00702244" w:rsidRPr="00FB675D">
        <w:rPr>
          <w:rFonts w:ascii="Nirmala UI" w:hAnsi="Nirmala UI" w:cs="Nirmala UI"/>
          <w:sz w:val="22"/>
          <w:szCs w:val="22"/>
        </w:rPr>
        <w:t>the</w:t>
      </w:r>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w:t>
      </w:r>
      <w:bookmarkStart w:id="0" w:name="_GoBack"/>
      <w:bookmarkEnd w:id="0"/>
      <w:r w:rsidRPr="00FB675D">
        <w:rPr>
          <w:rFonts w:ascii="Nirmala UI" w:hAnsi="Nirmala UI" w:cs="Nirmala UI"/>
          <w:b/>
          <w:color w:val="000000"/>
        </w:rPr>
        <w:t>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9BB" w:rsidRDefault="003C49BB" w:rsidP="009A21CF">
      <w:pPr>
        <w:spacing w:after="0" w:line="240" w:lineRule="auto"/>
      </w:pPr>
      <w:r>
        <w:separator/>
      </w:r>
    </w:p>
  </w:endnote>
  <w:endnote w:type="continuationSeparator" w:id="0">
    <w:p w:rsidR="003C49BB" w:rsidRDefault="003C49BB"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2D637E" w:rsidRPr="002D637E">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9BB" w:rsidRDefault="003C49BB" w:rsidP="009A21CF">
      <w:pPr>
        <w:spacing w:after="0" w:line="240" w:lineRule="auto"/>
      </w:pPr>
      <w:r>
        <w:separator/>
      </w:r>
    </w:p>
  </w:footnote>
  <w:footnote w:type="continuationSeparator" w:id="0">
    <w:p w:rsidR="003C49BB" w:rsidRDefault="003C49BB"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E63CC"/>
    <w:rsid w:val="001F2328"/>
    <w:rsid w:val="001F2679"/>
    <w:rsid w:val="001F50E4"/>
    <w:rsid w:val="0020410F"/>
    <w:rsid w:val="00206537"/>
    <w:rsid w:val="0021063F"/>
    <w:rsid w:val="0021171A"/>
    <w:rsid w:val="00215B23"/>
    <w:rsid w:val="00215EA6"/>
    <w:rsid w:val="00217462"/>
    <w:rsid w:val="002219CE"/>
    <w:rsid w:val="002321FC"/>
    <w:rsid w:val="00235745"/>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D637E"/>
    <w:rsid w:val="002F481D"/>
    <w:rsid w:val="002F6972"/>
    <w:rsid w:val="00310C64"/>
    <w:rsid w:val="00320535"/>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381E"/>
    <w:rsid w:val="003C49BB"/>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3947"/>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2244"/>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A653E"/>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B4028"/>
    <w:rsid w:val="00BB5960"/>
    <w:rsid w:val="00BC041A"/>
    <w:rsid w:val="00BC54DE"/>
    <w:rsid w:val="00BD1492"/>
    <w:rsid w:val="00BE2D1B"/>
    <w:rsid w:val="00BE34DE"/>
    <w:rsid w:val="00BE3AAC"/>
    <w:rsid w:val="00BF4CD5"/>
    <w:rsid w:val="00C03922"/>
    <w:rsid w:val="00C15BFF"/>
    <w:rsid w:val="00C16BC4"/>
    <w:rsid w:val="00C250F1"/>
    <w:rsid w:val="00C3436D"/>
    <w:rsid w:val="00C3669F"/>
    <w:rsid w:val="00C4204C"/>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38DE"/>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30C1"/>
    <w:rsid w:val="00D346DB"/>
    <w:rsid w:val="00D43A80"/>
    <w:rsid w:val="00D44499"/>
    <w:rsid w:val="00D47EEC"/>
    <w:rsid w:val="00D54926"/>
    <w:rsid w:val="00D54986"/>
    <w:rsid w:val="00D56ACA"/>
    <w:rsid w:val="00D56FDD"/>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3C1EA59-0D9D-48D4-9561-F8140B58E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1659</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9</cp:revision>
  <cp:lastPrinted>2020-10-20T11:00:00Z</cp:lastPrinted>
  <dcterms:created xsi:type="dcterms:W3CDTF">2023-07-05T05:35:00Z</dcterms:created>
  <dcterms:modified xsi:type="dcterms:W3CDTF">2023-10-16T08:05:00Z</dcterms:modified>
</cp:coreProperties>
</file>